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4"/>
      </w:pPr>
      <w:r>
        <w:rPr>
          <w:rFonts w:ascii="Times New Roman"/>
        </w:rPr>
        <w:t>ICS</w:t>
      </w:r>
      <w:r>
        <w:rPr>
          <w:rFonts w:hint="eastAsia" w:ascii="MS Mincho" w:hAnsi="MS Mincho" w:eastAsia="MS Mincho" w:cs="MS Mincho"/>
        </w:rPr>
        <w:t> </w:t>
      </w:r>
      <w:r>
        <w:rPr>
          <w:rFonts w:hint="eastAsia"/>
        </w:rPr>
        <w:t>77.1</w:t>
      </w:r>
      <w:r>
        <w:t>8</w:t>
      </w:r>
      <w:r>
        <w:rPr>
          <w:rFonts w:hint="eastAsia"/>
        </w:rPr>
        <w:t>0</w:t>
      </w:r>
    </w:p>
    <w:p>
      <w:pPr>
        <w:pStyle w:val="124"/>
        <w:rPr>
          <w:rFonts w:ascii="Times New Roman"/>
        </w:rPr>
      </w:pPr>
      <w:r>
        <w:rPr>
          <w:rFonts w:ascii="Times New Roman"/>
        </w:rPr>
        <w:t>H</w:t>
      </w:r>
      <w:r>
        <w:rPr>
          <w:rFonts w:hint="eastAsia" w:ascii="Times New Roman"/>
        </w:rPr>
        <w:t xml:space="preserve"> </w:t>
      </w:r>
      <w:r>
        <w:rPr>
          <w:rFonts w:ascii="Times New Roman"/>
        </w:rPr>
        <w:t>94</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24"/>
            </w:pPr>
            <w:r>
              <w:pict>
                <v:rect id="BAH" o:spid="_x0000_s1039" o:spt="1" style="position:absolute;left:0pt;margin-left:-5.25pt;margin-top:0pt;height:15.6pt;width:68.25pt;z-index:-251656192;mso-width-relative:page;mso-height-relative:page;" stroked="f" coordsize="21600,21600">
                  <v:path/>
                  <v:fill focussize="0,0"/>
                  <v:stroke on="f"/>
                  <v:imagedata o:title=""/>
                  <o:lock v:ext="edit"/>
                  <v:textbox>
                    <w:txbxContent>
                      <w:p/>
                    </w:txbxContent>
                  </v:textbox>
                </v:rect>
              </w:pict>
            </w:r>
            <w:r>
              <w:fldChar w:fldCharType="begin">
                <w:ffData>
                  <w:name w:val="BAH"/>
                  <w:enabled/>
                  <w:calcOnExit w:val="0"/>
                  <w:textInput/>
                </w:ffData>
              </w:fldChar>
            </w:r>
            <w:bookmarkStart w:id="0" w:name="BAH"/>
            <w:r>
              <w:instrText xml:space="preserve"> FORMTEXT </w:instrText>
            </w:r>
            <w:r>
              <w:fldChar w:fldCharType="separate"/>
            </w:r>
            <w:r>
              <w:rPr>
                <w:rFonts w:hint="eastAsia"/>
              </w:rPr>
              <w:t xml:space="preserve">备案号：   </w:t>
            </w:r>
            <w:r>
              <w:fldChar w:fldCharType="end"/>
            </w:r>
            <w:bookmarkEnd w:id="0"/>
          </w:p>
        </w:tc>
      </w:tr>
    </w:tbl>
    <w:p>
      <w:pPr>
        <w:pStyle w:val="67"/>
      </w:pPr>
      <w:bookmarkStart w:id="1" w:name="c1"/>
      <w:r>
        <w:fldChar w:fldCharType="begin">
          <w:ffData>
            <w:name w:val="c1"/>
            <w:enabled/>
            <w:calcOnExit w:val="0"/>
            <w:textInput>
              <w:maxLength w:val="2"/>
            </w:textInput>
          </w:ffData>
        </w:fldChar>
      </w:r>
      <w:r>
        <w:instrText xml:space="preserve"> FORMTEXT </w:instrText>
      </w:r>
      <w:r>
        <w:fldChar w:fldCharType="separate"/>
      </w:r>
      <w:r>
        <w:rPr>
          <w:rFonts w:hint="eastAsia"/>
        </w:rPr>
        <w:t>JB</w:t>
      </w:r>
      <w:r>
        <w:fldChar w:fldCharType="end"/>
      </w:r>
      <w:bookmarkEnd w:id="1"/>
    </w:p>
    <w:p>
      <w:pPr>
        <w:pStyle w:val="111"/>
      </w:pPr>
      <w:r>
        <w:rPr>
          <w:rFonts w:hint="eastAsia"/>
        </w:rPr>
        <w:t>中华人民共和国</w:t>
      </w:r>
      <w:bookmarkStart w:id="2" w:name="c2"/>
      <w:r>
        <w:fldChar w:fldCharType="begin">
          <w:ffData>
            <w:name w:val="c2"/>
            <w:enabled/>
            <w:calcOnExit w:val="0"/>
            <w:textInput/>
          </w:ffData>
        </w:fldChar>
      </w:r>
      <w:r>
        <w:instrText xml:space="preserve"> FORMTEXT </w:instrText>
      </w:r>
      <w:r>
        <w:fldChar w:fldCharType="separate"/>
      </w:r>
      <w:r>
        <w:rPr>
          <w:rFonts w:hint="eastAsia"/>
        </w:rPr>
        <w:t>机械</w:t>
      </w:r>
      <w:r>
        <w:fldChar w:fldCharType="end"/>
      </w:r>
      <w:bookmarkEnd w:id="2"/>
      <w:r>
        <w:rPr>
          <w:rFonts w:hint="eastAsia"/>
        </w:rPr>
        <w:t>行业标准</w:t>
      </w:r>
    </w:p>
    <w:p>
      <w:pPr>
        <w:pStyle w:val="48"/>
      </w:pPr>
      <w:bookmarkStart w:id="3"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rPr>
        <w:t>JB</w:t>
      </w:r>
      <w:r>
        <w:rPr>
          <w:rFonts w:ascii="Times New Roman"/>
        </w:rPr>
        <w:fldChar w:fldCharType="end"/>
      </w:r>
      <w:bookmarkEnd w:id="3"/>
      <w:r>
        <w:rPr>
          <w:rFonts w:ascii="Times New Roman"/>
        </w:rPr>
        <w:t xml:space="preserve">/T </w:t>
      </w:r>
      <w:r>
        <w:rPr>
          <w:rFonts w:hint="eastAsia"/>
        </w:rPr>
        <w:t>XXXXX</w:t>
      </w:r>
      <w:r>
        <w:t>—</w:t>
      </w:r>
      <w:bookmarkStart w:id="4"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4"/>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shd w:val="clear" w:color="auto" w:fill="auto"/>
          </w:tcPr>
          <w:p>
            <w:pPr>
              <w:pStyle w:val="77"/>
              <w:wordWrap w:val="0"/>
            </w:pPr>
          </w:p>
        </w:tc>
      </w:tr>
    </w:tbl>
    <w:p>
      <w:pPr>
        <w:pStyle w:val="48"/>
      </w:pPr>
    </w:p>
    <w:p>
      <w:pPr>
        <w:pStyle w:val="48"/>
      </w:pPr>
    </w:p>
    <w:p>
      <w:pPr>
        <w:pStyle w:val="79"/>
      </w:pPr>
      <w:r>
        <w:rPr>
          <w:rFonts w:hint="eastAsia"/>
        </w:rPr>
        <w:t>铝热轧输送辊道</w:t>
      </w:r>
    </w:p>
    <w:p>
      <w:pPr>
        <w:pStyle w:val="80"/>
        <w:rPr>
          <w:rFonts w:hint="eastAsia" w:ascii="黑体" w:hAnsi="黑体" w:eastAsia="黑体" w:cs="黑体"/>
          <w:b/>
        </w:rPr>
      </w:pPr>
      <w:r>
        <w:rPr>
          <w:rFonts w:hint="eastAsia" w:ascii="黑体" w:hAnsi="黑体" w:eastAsia="黑体" w:cs="黑体"/>
        </w:rPr>
        <w:t>Conveyor table for hot aluminium rolling</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shd w:val="clear" w:color="auto" w:fill="auto"/>
          </w:tcPr>
          <w:p>
            <w:pPr>
              <w:pStyle w:val="82"/>
            </w:pPr>
            <w:r>
              <w:rPr>
                <w:rFonts w:hint="eastAsia"/>
              </w:rPr>
              <w:t>在提交反馈意见时，请将您知道的相关专利连同支持性文件一并附上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3"/>
            </w:pPr>
            <w:bookmarkStart w:id="5" w:name="WCRQ"/>
            <w:r>
              <w:pict>
                <v:shape id="_x0000_s1040" o:spid="_x0000_s1040" o:spt="202" type="#_x0000_t202" style="position:absolute;left:0pt;margin-left:69.6pt;margin-top:47.55pt;height:26.4pt;width:344.4pt;z-index:251659264;mso-width-relative:page;mso-height-relative:page;" stroked="f" coordsize="21600,21600">
                  <v:path/>
                  <v:fill focussize="0,0"/>
                  <v:stroke on="f" joinstyle="miter"/>
                  <v:imagedata o:title=""/>
                  <o:lock v:ext="edit"/>
                  <v:textbox>
                    <w:txbxContent>
                      <w:p>
                        <w:pPr>
                          <w:rPr>
                            <w:b/>
                            <w:bCs/>
                          </w:rPr>
                        </w:pPr>
                      </w:p>
                    </w:txbxContent>
                  </v:textbox>
                </v:shape>
              </w:pict>
            </w:r>
            <w:bookmarkEnd w:id="5"/>
            <w:r>
              <w:rPr>
                <w:rFonts w:hint="eastAsia" w:ascii="宋体" w:hAnsi="Times New Roman" w:eastAsia="宋体" w:cs="Times New Roman"/>
                <w:sz w:val="21"/>
                <w:szCs w:val="28"/>
                <w:lang w:val="en-US" w:eastAsia="zh-CN" w:bidi="ar-SA"/>
              </w:rPr>
              <w:fldChar w:fldCharType="begin">
                <w:ffData>
                  <w:name w:val="Text1"/>
                  <w:enabled/>
                  <w:calcOnExit w:val="0"/>
                  <w:textInput>
                    <w:default w:val="征求意见稿"/>
                  </w:textInput>
                </w:ffData>
              </w:fldChar>
            </w:r>
            <w:r>
              <w:rPr>
                <w:rFonts w:hint="eastAsia" w:ascii="宋体" w:hAnsi="Times New Roman" w:eastAsia="宋体" w:cs="Times New Roman"/>
                <w:sz w:val="21"/>
                <w:szCs w:val="28"/>
                <w:lang w:val="en-US" w:eastAsia="zh-CN" w:bidi="ar-SA"/>
              </w:rPr>
              <w:instrText xml:space="preserve">FORMTEXT</w:instrText>
            </w:r>
            <w:r>
              <w:rPr>
                <w:rFonts w:hint="eastAsia" w:ascii="宋体" w:hAnsi="Times New Roman" w:eastAsia="宋体" w:cs="Times New Roman"/>
                <w:sz w:val="21"/>
                <w:szCs w:val="28"/>
                <w:lang w:val="en-US" w:eastAsia="zh-CN" w:bidi="ar-SA"/>
              </w:rPr>
              <w:fldChar w:fldCharType="separate"/>
            </w:r>
            <w:r>
              <w:rPr>
                <w:rFonts w:hint="eastAsia" w:ascii="宋体" w:hAnsi="Times New Roman" w:eastAsia="宋体" w:cs="Times New Roman"/>
                <w:sz w:val="21"/>
                <w:szCs w:val="28"/>
                <w:lang w:val="en-US" w:eastAsia="zh-CN" w:bidi="ar-SA"/>
              </w:rPr>
              <w:t>征求意见稿</w:t>
            </w:r>
            <w:r>
              <w:rPr>
                <w:rFonts w:hint="eastAsia" w:ascii="宋体" w:hAnsi="Times New Roman" w:eastAsia="宋体" w:cs="Times New Roman"/>
                <w:sz w:val="21"/>
                <w:szCs w:val="28"/>
                <w:lang w:val="en-US" w:eastAsia="zh-CN" w:bidi="ar-SA"/>
              </w:rPr>
              <w:fldChar w:fldCharType="end"/>
            </w:r>
          </w:p>
        </w:tc>
      </w:tr>
    </w:tbl>
    <w:p>
      <w:pPr>
        <w:pStyle w:val="131"/>
        <w:framePr w:hAnchor="page" w:x="1429" w:y="14113"/>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bookmarkStart w:id="6"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r>
        <w:pict>
          <v:line id="_x0000_s1034" o:spid="_x0000_s1034" o:spt="20" style="position:absolute;left:0pt;margin-left:71pt;margin-top:728.5pt;height:0pt;width:481.9pt;mso-position-horizontal-relative:page;mso-position-vertical-relative:page;z-index:251659264;mso-width-relative:page;mso-height-relative:page;" coordsize="21600,21600">
            <v:path arrowok="t"/>
            <v:fill focussize="0,0"/>
            <v:stroke/>
            <v:imagedata o:title=""/>
            <o:lock v:ext="edit"/>
            <w10:anchorlock/>
          </v:line>
        </w:pict>
      </w:r>
    </w:p>
    <w:p>
      <w:pPr>
        <w:pStyle w:val="132"/>
        <w:framePr w:w="2821" w:hAnchor="page" w:x="8989" w:y="14125"/>
        <w:ind w:right="560"/>
        <w:jc w:val="both"/>
      </w:pPr>
      <w:bookmarkStart w:id="7"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112"/>
        <w:framePr w:x="2149" w:y="14920"/>
      </w:pPr>
      <w:bookmarkStart w:id="10" w:name="fm"/>
      <w:r>
        <w:rPr>
          <w:spacing w:val="0"/>
          <w:w w:val="100"/>
        </w:rPr>
        <w:pict>
          <v:rect id="LB" o:spid="_x0000_s1037" o:spt="1" style="position:absolute;left:0pt;margin-left:142.55pt;margin-top:-310.45pt;height:24pt;width:100pt;z-index:-251656192;mso-width-relative:page;mso-height-relative:page;" stroked="f" coordsize="21600,21600">
            <v:path/>
            <v:fill focussize="0,0"/>
            <v:stroke on="f"/>
            <v:imagedata o:title=""/>
            <o:lock v:ext="edit"/>
            <v:textbox>
              <w:txbxContent>
                <w:p/>
              </w:txbxContent>
            </v:textbox>
          </v:rect>
        </w:pict>
      </w:r>
      <w:r>
        <w:rPr>
          <w:spacing w:val="0"/>
          <w:w w:val="100"/>
        </w:rPr>
        <w:pict>
          <v:rect id="DT" o:spid="_x0000_s1036" o:spt="1" style="position:absolute;left:0pt;margin-left:347.55pt;margin-top:-585.45pt;height:18pt;width:90pt;z-index:-251656192;mso-width-relative:page;mso-height-relative:page;" stroked="f" coordsize="21600,21600">
            <v:path/>
            <v:fill focussize="0,0"/>
            <v:stroke on="f"/>
            <v:imagedata o:title=""/>
            <o:lock v:ext="edit"/>
            <v:textbox>
              <w:txbxContent>
                <w:p/>
              </w:txbxContent>
            </v:textbox>
          </v:rect>
        </w:pict>
      </w:r>
      <w:r>
        <w:rPr>
          <w:spacing w:val="0"/>
          <w:w w:val="100"/>
        </w:rPr>
        <w:pict>
          <v:line id="_x0000_s1035" o:spid="_x0000_s1035" o:spt="20" style="position:absolute;left:0pt;margin-left:-36.6pt;margin-top:-552.85pt;height:0pt;width:481.9pt;z-index:251659264;mso-width-relative:page;mso-height-relative:page;" coordsize="21600,21600">
            <v:path arrowok="t"/>
            <v:fill focussize="0,0"/>
            <v:stroke/>
            <v:imagedata o:title=""/>
            <o:lock v:ext="edit"/>
          </v:line>
        </w:pict>
      </w:r>
      <w:r>
        <w:rPr>
          <w:spacing w:val="0"/>
        </w:rPr>
        <w:fldChar w:fldCharType="begin">
          <w:ffData>
            <w:name w:val="fm"/>
            <w:enabled/>
            <w:calcOnExit w:val="0"/>
            <w:textInput/>
          </w:ffData>
        </w:fldChar>
      </w:r>
      <w:r>
        <w:rPr>
          <w:spacing w:val="0"/>
        </w:rPr>
        <w:instrText xml:space="preserve"> FORMTEXT </w:instrText>
      </w:r>
      <w:r>
        <w:rPr>
          <w:spacing w:val="0"/>
        </w:rPr>
        <w:fldChar w:fldCharType="separate"/>
      </w:r>
      <w:r>
        <w:rPr>
          <w:rFonts w:hint="eastAsia"/>
          <w:spacing w:val="0"/>
          <w:sz w:val="36"/>
          <w:szCs w:val="36"/>
        </w:rPr>
        <w:t>中华人民共和国工业和信息化部</w:t>
      </w:r>
      <w:r>
        <w:rPr>
          <w:spacing w:val="0"/>
        </w:rPr>
        <w:fldChar w:fldCharType="end"/>
      </w:r>
      <w:bookmarkEnd w:id="10"/>
      <w:r>
        <w:t> </w:t>
      </w:r>
      <w:r>
        <w:rPr>
          <w:rStyle w:val="74"/>
          <w:rFonts w:hint="eastAsia"/>
        </w:rPr>
        <w:t>发布</w:t>
      </w:r>
    </w:p>
    <w:p>
      <w:pPr>
        <w:pStyle w:val="23"/>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425" w:num="1"/>
          <w:docGrid w:type="lines" w:linePitch="312" w:charSpace="0"/>
        </w:sectPr>
      </w:pPr>
    </w:p>
    <w:p>
      <w:pPr>
        <w:pStyle w:val="51"/>
        <w:outlineLvl w:val="9"/>
      </w:pPr>
      <w:bookmarkStart w:id="11" w:name="_Toc432602005"/>
      <w:bookmarkStart w:id="12" w:name="_Toc440617688"/>
      <w:bookmarkStart w:id="13" w:name="_Toc440617814"/>
      <w:bookmarkStart w:id="14" w:name="_Toc440617582"/>
      <w:bookmarkStart w:id="15" w:name="_Toc440617549"/>
      <w:bookmarkStart w:id="16" w:name="_Toc440617618"/>
      <w:r>
        <w:rPr>
          <w:rFonts w:hint="eastAsia"/>
        </w:rPr>
        <w:t>目</w:t>
      </w:r>
      <w:bookmarkStart w:id="17" w:name="BKML"/>
      <w:r>
        <w:rPr>
          <w:rFonts w:hAnsi="黑体"/>
        </w:rPr>
        <w:t>  </w:t>
      </w:r>
      <w:r>
        <w:rPr>
          <w:rFonts w:hint="eastAsia"/>
        </w:rPr>
        <w:t>次</w:t>
      </w:r>
      <w:bookmarkEnd w:id="17"/>
    </w:p>
    <w:p>
      <w:pPr>
        <w:pStyle w:val="19"/>
        <w:spacing w:before="78" w:after="78"/>
        <w:rPr>
          <w:rFonts w:ascii="Calibri" w:hAnsi="Calibri"/>
          <w:szCs w:val="22"/>
        </w:rPr>
      </w:pPr>
      <w:r>
        <w:fldChar w:fldCharType="begin"/>
      </w:r>
      <w:r>
        <w:instrText xml:space="preserve"> TOC \o "1-3" \h \z \u </w:instrText>
      </w:r>
      <w:r>
        <w:fldChar w:fldCharType="separate"/>
      </w:r>
      <w:r>
        <w:fldChar w:fldCharType="begin"/>
      </w:r>
      <w:r>
        <w:instrText xml:space="preserve"> HYPERLINK \l "_Toc45100994" </w:instrText>
      </w:r>
      <w:r>
        <w:fldChar w:fldCharType="separate"/>
      </w:r>
      <w:r>
        <w:rPr>
          <w:rStyle w:val="38"/>
          <w:rFonts w:hint="eastAsia"/>
        </w:rPr>
        <w:t>前言</w:t>
      </w:r>
      <w:r>
        <w:tab/>
      </w:r>
      <w:r>
        <w:fldChar w:fldCharType="begin"/>
      </w:r>
      <w:r>
        <w:instrText xml:space="preserve"> PAGEREF _Toc45100994 \h </w:instrText>
      </w:r>
      <w:r>
        <w:fldChar w:fldCharType="separate"/>
      </w:r>
      <w:r>
        <w:t>II</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"_Toc45100995" </w:instrText>
      </w:r>
      <w:r>
        <w:fldChar w:fldCharType="separate"/>
      </w:r>
      <w:r>
        <w:rPr>
          <w:rStyle w:val="38"/>
        </w:rPr>
        <w:t>1</w:t>
      </w:r>
      <w:r>
        <w:rPr>
          <w:rStyle w:val="38"/>
          <w:rFonts w:hint="eastAsia"/>
        </w:rPr>
        <w:t xml:space="preserve"> 范围</w:t>
      </w:r>
      <w:r>
        <w:tab/>
      </w:r>
      <w:r>
        <w:fldChar w:fldCharType="begin"/>
      </w:r>
      <w:r>
        <w:instrText xml:space="preserve"> PAGEREF _Toc45100995 \h </w:instrText>
      </w:r>
      <w:r>
        <w:fldChar w:fldCharType="separate"/>
      </w:r>
      <w:r>
        <w:t>1</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"_Toc45100996" </w:instrText>
      </w:r>
      <w:r>
        <w:fldChar w:fldCharType="separate"/>
      </w:r>
      <w:r>
        <w:rPr>
          <w:rStyle w:val="38"/>
        </w:rPr>
        <w:t>2</w:t>
      </w:r>
      <w:r>
        <w:rPr>
          <w:rStyle w:val="38"/>
          <w:rFonts w:hint="eastAsia"/>
        </w:rPr>
        <w:t xml:space="preserve"> 规范性引用文件</w:t>
      </w:r>
      <w:r>
        <w:tab/>
      </w:r>
      <w:r>
        <w:fldChar w:fldCharType="begin"/>
      </w:r>
      <w:r>
        <w:instrText xml:space="preserve"> PAGEREF _Toc45100996 \h </w:instrText>
      </w:r>
      <w:r>
        <w:fldChar w:fldCharType="separate"/>
      </w:r>
      <w:r>
        <w:t>1</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"_Toc45100997" </w:instrText>
      </w:r>
      <w:r>
        <w:fldChar w:fldCharType="separate"/>
      </w:r>
      <w:r>
        <w:rPr>
          <w:rStyle w:val="38"/>
        </w:rPr>
        <w:t>3</w:t>
      </w:r>
      <w:r>
        <w:rPr>
          <w:rStyle w:val="38"/>
          <w:rFonts w:hint="eastAsia"/>
        </w:rPr>
        <w:t xml:space="preserve"> 术语和定义</w:t>
      </w:r>
      <w:r>
        <w:tab/>
      </w:r>
      <w:r>
        <w:fldChar w:fldCharType="begin"/>
      </w:r>
      <w:r>
        <w:instrText xml:space="preserve"> PAGEREF _Toc45100997 \h </w:instrText>
      </w:r>
      <w:r>
        <w:fldChar w:fldCharType="separate"/>
      </w:r>
      <w:r>
        <w:t>1</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"_Toc45100998" </w:instrText>
      </w:r>
      <w:r>
        <w:fldChar w:fldCharType="separate"/>
      </w:r>
      <w:r>
        <w:rPr>
          <w:rStyle w:val="38"/>
        </w:rPr>
        <w:t>4</w:t>
      </w:r>
      <w:r>
        <w:rPr>
          <w:rStyle w:val="38"/>
          <w:rFonts w:hint="eastAsia"/>
        </w:rPr>
        <w:t xml:space="preserve"> 型式</w:t>
      </w:r>
      <w:r>
        <w:rPr>
          <w:rStyle w:val="38"/>
          <w:rFonts w:hint="eastAsia"/>
          <w:lang w:val="en-US" w:eastAsia="zh-CN"/>
        </w:rPr>
        <w:t>分类</w:t>
      </w:r>
      <w:r>
        <w:tab/>
      </w:r>
      <w:r>
        <w:fldChar w:fldCharType="begin"/>
      </w:r>
      <w:r>
        <w:instrText xml:space="preserve"> PAGEREF _Toc45100998 \h </w:instrText>
      </w:r>
      <w:r>
        <w:fldChar w:fldCharType="separate"/>
      </w:r>
      <w:r>
        <w:t>1</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"_Toc45100999" </w:instrText>
      </w:r>
      <w:r>
        <w:fldChar w:fldCharType="separate"/>
      </w:r>
      <w:r>
        <w:rPr>
          <w:rStyle w:val="38"/>
        </w:rPr>
        <w:t>5</w:t>
      </w:r>
      <w:r>
        <w:rPr>
          <w:rStyle w:val="38"/>
          <w:rFonts w:hint="eastAsia"/>
        </w:rPr>
        <w:t xml:space="preserve"> </w:t>
      </w:r>
      <w:r>
        <w:rPr>
          <w:rStyle w:val="38"/>
          <w:rFonts w:hint="eastAsia"/>
          <w:lang w:val="en-US" w:eastAsia="zh-CN"/>
        </w:rPr>
        <w:t>基本参数</w:t>
      </w:r>
      <w:r>
        <w:tab/>
      </w:r>
      <w:r>
        <w:rPr>
          <w:rFonts w:hint="eastAsia"/>
          <w:lang w:val="en-US" w:eastAsia="zh-CN"/>
        </w:rPr>
        <w:t>3</w:t>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"_Toc45100999" </w:instrText>
      </w:r>
      <w:r>
        <w:fldChar w:fldCharType="separate"/>
      </w:r>
      <w:r>
        <w:rPr>
          <w:rStyle w:val="38"/>
          <w:rFonts w:hint="eastAsia"/>
          <w:lang w:val="en-US" w:eastAsia="zh-CN"/>
        </w:rPr>
        <w:t>6</w:t>
      </w:r>
      <w:r>
        <w:rPr>
          <w:rStyle w:val="38"/>
          <w:rFonts w:hint="eastAsia"/>
        </w:rPr>
        <w:t xml:space="preserve"> 技术要求</w:t>
      </w:r>
      <w:r>
        <w:tab/>
      </w:r>
      <w:r>
        <w:rPr>
          <w:rFonts w:hint="eastAsia"/>
          <w:lang w:val="en-US" w:eastAsia="zh-CN"/>
        </w:rPr>
        <w:t>4</w:t>
      </w:r>
      <w:r>
        <w:fldChar w:fldCharType="end"/>
      </w:r>
    </w:p>
    <w:p>
      <w:pPr>
        <w:pStyle w:val="11"/>
        <w:ind w:firstLine="210"/>
        <w:rPr>
          <w:rFonts w:ascii="Calibri" w:hAnsi="Calibri"/>
          <w:szCs w:val="22"/>
        </w:rPr>
      </w:pPr>
      <w:r>
        <w:fldChar w:fldCharType="begin"/>
      </w:r>
      <w:r>
        <w:instrText xml:space="preserve"> HYPERLINK \l "_Toc45101000" </w:instrText>
      </w:r>
      <w:r>
        <w:fldChar w:fldCharType="separate"/>
      </w:r>
      <w:r>
        <w:rPr>
          <w:rFonts w:hint="eastAsia"/>
          <w:lang w:val="en-US" w:eastAsia="zh-CN"/>
        </w:rPr>
        <w:t>6</w:t>
      </w:r>
      <w:r>
        <w:rPr>
          <w:rStyle w:val="38"/>
        </w:rPr>
        <w:t>.1</w:t>
      </w:r>
      <w:r>
        <w:rPr>
          <w:rStyle w:val="38"/>
          <w:rFonts w:hint="eastAsia"/>
        </w:rPr>
        <w:t xml:space="preserve"> </w:t>
      </w:r>
      <w:r>
        <w:rPr>
          <w:rStyle w:val="38"/>
          <w:rFonts w:hint="eastAsia"/>
          <w:lang w:val="en-US" w:eastAsia="zh-CN"/>
        </w:rPr>
        <w:t>通用</w:t>
      </w:r>
      <w:r>
        <w:rPr>
          <w:rStyle w:val="38"/>
          <w:rFonts w:hint="eastAsia"/>
        </w:rPr>
        <w:t>要求</w:t>
      </w:r>
      <w:r>
        <w:tab/>
      </w:r>
      <w:r>
        <w:rPr>
          <w:rFonts w:hint="eastAsia"/>
          <w:lang w:val="en-US" w:eastAsia="zh-CN"/>
        </w:rPr>
        <w:t>4</w:t>
      </w:r>
      <w:r>
        <w:fldChar w:fldCharType="end"/>
      </w:r>
    </w:p>
    <w:p>
      <w:pPr>
        <w:pStyle w:val="11"/>
        <w:ind w:firstLine="210"/>
        <w:rPr>
          <w:rFonts w:ascii="Calibri" w:hAnsi="Calibri"/>
          <w:szCs w:val="22"/>
        </w:rPr>
      </w:pPr>
      <w:r>
        <w:fldChar w:fldCharType="begin"/>
      </w:r>
      <w:r>
        <w:instrText xml:space="preserve"> HYPERLINK \l "_Toc45101001" </w:instrText>
      </w:r>
      <w:r>
        <w:fldChar w:fldCharType="separate"/>
      </w:r>
      <w:r>
        <w:rPr>
          <w:rStyle w:val="38"/>
          <w:rFonts w:hint="eastAsia"/>
          <w:lang w:val="en-US" w:eastAsia="zh-CN"/>
        </w:rPr>
        <w:t>6</w:t>
      </w:r>
      <w:r>
        <w:rPr>
          <w:rStyle w:val="38"/>
        </w:rPr>
        <w:t>.2</w:t>
      </w:r>
      <w:r>
        <w:rPr>
          <w:rStyle w:val="38"/>
          <w:rFonts w:hint="eastAsia"/>
        </w:rPr>
        <w:t xml:space="preserve"> 主要零件技术要求</w:t>
      </w:r>
      <w:r>
        <w:tab/>
      </w:r>
      <w:r>
        <w:rPr>
          <w:rFonts w:hint="eastAsia"/>
          <w:lang w:val="en-US" w:eastAsia="zh-CN"/>
        </w:rPr>
        <w:t>4</w:t>
      </w:r>
      <w:r>
        <w:fldChar w:fldCharType="end"/>
      </w:r>
    </w:p>
    <w:p>
      <w:pPr>
        <w:pStyle w:val="11"/>
        <w:ind w:firstLine="210"/>
        <w:rPr>
          <w:rFonts w:ascii="Calibri" w:hAnsi="Calibri"/>
          <w:szCs w:val="22"/>
        </w:rPr>
      </w:pPr>
      <w:r>
        <w:fldChar w:fldCharType="begin"/>
      </w:r>
      <w:r>
        <w:instrText xml:space="preserve"> HYPERLINK \l "_Toc45101002" </w:instrText>
      </w:r>
      <w:r>
        <w:fldChar w:fldCharType="separate"/>
      </w:r>
      <w:r>
        <w:rPr>
          <w:rStyle w:val="38"/>
          <w:rFonts w:hint="eastAsia"/>
          <w:lang w:val="en-US" w:eastAsia="zh-CN"/>
        </w:rPr>
        <w:t>6</w:t>
      </w:r>
      <w:r>
        <w:rPr>
          <w:rStyle w:val="38"/>
        </w:rPr>
        <w:t>.3</w:t>
      </w:r>
      <w:r>
        <w:rPr>
          <w:rStyle w:val="38"/>
          <w:rFonts w:hint="eastAsia"/>
        </w:rPr>
        <w:t xml:space="preserve"> 装配技术要求</w:t>
      </w:r>
      <w:r>
        <w:tab/>
      </w:r>
      <w:r>
        <w:rPr>
          <w:rFonts w:hint="eastAsia"/>
          <w:lang w:val="en-US" w:eastAsia="zh-CN"/>
        </w:rPr>
        <w:t>7</w:t>
      </w:r>
      <w:r>
        <w:fldChar w:fldCharType="end"/>
      </w:r>
    </w:p>
    <w:p>
      <w:pPr>
        <w:pStyle w:val="11"/>
        <w:ind w:firstLine="210"/>
        <w:rPr>
          <w:rFonts w:ascii="Calibri" w:hAnsi="Calibri"/>
          <w:szCs w:val="22"/>
        </w:rPr>
      </w:pPr>
      <w:r>
        <w:fldChar w:fldCharType="begin"/>
      </w:r>
      <w:r>
        <w:instrText xml:space="preserve"> HYPERLINK \l "_Toc45101003" </w:instrText>
      </w:r>
      <w:r>
        <w:fldChar w:fldCharType="separate"/>
      </w:r>
      <w:r>
        <w:rPr>
          <w:rFonts w:hint="eastAsia"/>
          <w:lang w:val="en-US" w:eastAsia="zh-CN"/>
        </w:rPr>
        <w:t>6</w:t>
      </w:r>
      <w:r>
        <w:rPr>
          <w:rStyle w:val="38"/>
        </w:rPr>
        <w:t>.4</w:t>
      </w:r>
      <w:r>
        <w:rPr>
          <w:rStyle w:val="38"/>
          <w:rFonts w:hint="eastAsia"/>
        </w:rPr>
        <w:t xml:space="preserve"> </w:t>
      </w:r>
      <w:r>
        <w:rPr>
          <w:rStyle w:val="38"/>
          <w:rFonts w:hint="eastAsia"/>
          <w:lang w:val="en-US" w:eastAsia="zh-CN"/>
        </w:rPr>
        <w:t>冷却、润滑技术</w:t>
      </w:r>
      <w:r>
        <w:rPr>
          <w:rStyle w:val="38"/>
          <w:rFonts w:hint="eastAsia"/>
        </w:rPr>
        <w:t>要求</w:t>
      </w:r>
      <w:r>
        <w:tab/>
      </w:r>
      <w:r>
        <w:rPr>
          <w:rFonts w:hint="eastAsia"/>
          <w:lang w:val="en-US" w:eastAsia="zh-CN"/>
        </w:rPr>
        <w:t>8</w:t>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"_Toc45101005" </w:instrText>
      </w:r>
      <w:r>
        <w:fldChar w:fldCharType="separate"/>
      </w:r>
      <w:r>
        <w:rPr>
          <w:rStyle w:val="38"/>
          <w:rFonts w:hint="eastAsia"/>
          <w:lang w:val="en-US" w:eastAsia="zh-CN"/>
        </w:rPr>
        <w:t>7</w:t>
      </w:r>
      <w:r>
        <w:rPr>
          <w:rStyle w:val="38"/>
          <w:rFonts w:hint="eastAsia"/>
        </w:rPr>
        <w:t xml:space="preserve"> 试验方法</w:t>
      </w:r>
      <w:r>
        <w:tab/>
      </w:r>
      <w:r>
        <w:rPr>
          <w:rFonts w:hint="eastAsia"/>
          <w:lang w:val="en-US" w:eastAsia="zh-CN"/>
        </w:rPr>
        <w:t>8</w:t>
      </w:r>
      <w:r>
        <w:fldChar w:fldCharType="end"/>
      </w:r>
    </w:p>
    <w:p>
      <w:pPr>
        <w:pStyle w:val="11"/>
        <w:ind w:firstLine="210"/>
        <w:rPr>
          <w:rFonts w:ascii="Calibri" w:hAnsi="Calibri"/>
          <w:szCs w:val="22"/>
        </w:rPr>
      </w:pPr>
    </w:p>
    <w:p>
      <w:pPr>
        <w:pStyle w:val="28"/>
        <w:rPr>
          <w:rFonts w:ascii="Calibri" w:hAnsi="Calibri"/>
          <w:szCs w:val="22"/>
        </w:rPr>
      </w:pPr>
    </w:p>
    <w:p>
      <w:pPr>
        <w:pStyle w:val="19"/>
        <w:spacing w:before="78" w:after="78"/>
      </w:pPr>
      <w:r>
        <w:fldChar w:fldCharType="end"/>
      </w:r>
    </w:p>
    <w:p>
      <w:pPr>
        <w:pStyle w:val="113"/>
      </w:pPr>
      <w:bookmarkStart w:id="18" w:name="_Toc45100994"/>
      <w:r>
        <w:rPr>
          <w:rFonts w:hint="eastAsia"/>
        </w:rPr>
        <w:t>前</w:t>
      </w:r>
      <w:bookmarkStart w:id="19" w:name="BKQY"/>
      <w:r>
        <w:t>  </w:t>
      </w:r>
      <w:r>
        <w:rPr>
          <w:rFonts w:hint="eastAsia"/>
        </w:rPr>
        <w:t>言</w:t>
      </w:r>
      <w:bookmarkEnd w:id="11"/>
      <w:bookmarkEnd w:id="12"/>
      <w:bookmarkEnd w:id="13"/>
      <w:bookmarkEnd w:id="14"/>
      <w:bookmarkEnd w:id="15"/>
      <w:bookmarkEnd w:id="16"/>
      <w:bookmarkEnd w:id="18"/>
      <w:bookmarkEnd w:id="19"/>
    </w:p>
    <w:p>
      <w:pPr>
        <w:pStyle w:val="23"/>
      </w:pPr>
      <w:r>
        <w:rPr>
          <w:rFonts w:hint="eastAsia" w:hAnsi="宋体" w:cs="宋体"/>
          <w:szCs w:val="21"/>
        </w:rPr>
        <w:t>本文件按照GB/T 1.1—2020《标准化工作导则 第1部分:标准化文件的結构和起草规则》的规定起草。</w:t>
      </w:r>
    </w:p>
    <w:p>
      <w:pPr>
        <w:pStyle w:val="23"/>
        <w:rPr>
          <w:rFonts w:hint="eastAsia"/>
        </w:rPr>
      </w:pPr>
      <w:r>
        <w:rPr>
          <w:rFonts w:hint="eastAsia"/>
          <w:color w:val="000000"/>
        </w:rPr>
        <w:t>请注意本文件的某些内容可能涉及专利。本文件的发布机构不承担识别专利的责任。</w:t>
      </w:r>
    </w:p>
    <w:p>
      <w:pPr>
        <w:pStyle w:val="23"/>
      </w:pPr>
      <w:r>
        <w:rPr>
          <w:rFonts w:hint="eastAsia"/>
        </w:rPr>
        <w:t>本</w:t>
      </w:r>
      <w:r>
        <w:rPr>
          <w:rFonts w:hint="eastAsia" w:hAnsi="宋体" w:cs="宋体"/>
          <w:szCs w:val="21"/>
        </w:rPr>
        <w:t>文件</w:t>
      </w:r>
      <w:r>
        <w:rPr>
          <w:rFonts w:hint="eastAsia"/>
        </w:rPr>
        <w:t>由中国机械工业联合会提出。</w:t>
      </w:r>
    </w:p>
    <w:p>
      <w:pPr>
        <w:pStyle w:val="23"/>
        <w:rPr>
          <w:rFonts w:hAnsi="宋体"/>
          <w:color w:val="000000"/>
        </w:rPr>
      </w:pPr>
      <w:r>
        <w:rPr>
          <w:rFonts w:hint="eastAsia" w:hAnsi="宋体"/>
          <w:color w:val="000000"/>
        </w:rPr>
        <w:t>本文件由全国冶金设备标准化技术委员会</w:t>
      </w:r>
      <w:r>
        <w:rPr>
          <w:rFonts w:hAnsi="宋体"/>
          <w:szCs w:val="21"/>
        </w:rPr>
        <w:t>（SAC/TC</w:t>
      </w:r>
      <w:r>
        <w:rPr>
          <w:rFonts w:hint="eastAsia" w:hAnsi="宋体"/>
          <w:szCs w:val="21"/>
        </w:rPr>
        <w:t>409</w:t>
      </w:r>
      <w:r>
        <w:rPr>
          <w:rFonts w:hAnsi="宋体"/>
          <w:szCs w:val="21"/>
        </w:rPr>
        <w:t>）</w:t>
      </w:r>
      <w:r>
        <w:rPr>
          <w:rFonts w:hint="eastAsia" w:hAnsi="宋体"/>
          <w:color w:val="000000"/>
        </w:rPr>
        <w:t>归口。</w:t>
      </w:r>
    </w:p>
    <w:p>
      <w:pPr>
        <w:pStyle w:val="23"/>
        <w:rPr>
          <w:rFonts w:hAnsi="宋体"/>
          <w:color w:val="000000"/>
        </w:rPr>
      </w:pPr>
      <w:r>
        <w:rPr>
          <w:rFonts w:hint="eastAsia" w:hAnsi="宋体"/>
          <w:color w:val="000000"/>
        </w:rPr>
        <w:t>本文件起草单位：二重（德阳）重型装备有限公司、中国重型机械研究院股份公司。</w:t>
      </w:r>
    </w:p>
    <w:p>
      <w:pPr>
        <w:pStyle w:val="23"/>
        <w:tabs>
          <w:tab w:val="left" w:pos="8651"/>
          <w:tab w:val="clear" w:pos="9298"/>
        </w:tabs>
        <w:rPr>
          <w:rFonts w:hAnsi="宋体"/>
          <w:color w:val="000000"/>
        </w:rPr>
      </w:pPr>
      <w:r>
        <w:rPr>
          <w:rFonts w:hint="eastAsia" w:hAnsi="宋体"/>
          <w:color w:val="000000"/>
        </w:rPr>
        <w:t>本文件主要起草人：</w:t>
      </w:r>
      <w:r>
        <w:rPr>
          <w:rFonts w:hAnsi="宋体"/>
          <w:color w:val="000000"/>
        </w:rPr>
        <w:t xml:space="preserve"> </w:t>
      </w:r>
    </w:p>
    <w:p>
      <w:pPr>
        <w:pStyle w:val="23"/>
      </w:pPr>
    </w:p>
    <w:p>
      <w:pPr>
        <w:pStyle w:val="23"/>
        <w:ind w:firstLine="0" w:firstLineChars="0"/>
        <w:rPr>
          <w:szCs w:val="21"/>
        </w:rPr>
        <w:sectPr>
          <w:headerReference r:id="rId9" w:type="default"/>
          <w:footerReference r:id="rId10" w:type="default"/>
          <w:pgSz w:w="11906" w:h="16838"/>
          <w:pgMar w:top="567" w:right="1134" w:bottom="1134" w:left="1418" w:header="1418" w:footer="1134" w:gutter="0"/>
          <w:pgNumType w:fmt="upperRoman" w:start="1"/>
          <w:cols w:space="425" w:num="1"/>
          <w:formProt w:val="0"/>
          <w:docGrid w:type="lines" w:linePitch="312" w:charSpace="0"/>
        </w:sectPr>
      </w:pPr>
    </w:p>
    <w:p>
      <w:pPr>
        <w:pStyle w:val="46"/>
        <w:numPr>
          <w:ilvl w:val="0"/>
          <w:numId w:val="0"/>
        </w:numPr>
        <w:jc w:val="center"/>
        <w:rPr>
          <w:rFonts w:hint="eastAsia"/>
          <w:sz w:val="32"/>
          <w:szCs w:val="32"/>
        </w:rPr>
      </w:pPr>
      <w:bookmarkStart w:id="20" w:name="_Toc61356069"/>
      <w:bookmarkStart w:id="21" w:name="_Toc61356302"/>
      <w:bookmarkStart w:id="22" w:name="_Toc436915435"/>
      <w:bookmarkStart w:id="23" w:name="_Toc318103485"/>
      <w:bookmarkStart w:id="24" w:name="_Toc320608718"/>
      <w:bookmarkStart w:id="25" w:name="_Toc320605883"/>
      <w:bookmarkStart w:id="26" w:name="_Toc320607918"/>
      <w:bookmarkStart w:id="27" w:name="_Toc320605960"/>
      <w:bookmarkStart w:id="28" w:name="_Toc320608621"/>
      <w:bookmarkStart w:id="29" w:name="_Toc320607612"/>
      <w:bookmarkStart w:id="30" w:name="_Toc320606087"/>
      <w:bookmarkStart w:id="31" w:name="_Toc320608245"/>
      <w:bookmarkStart w:id="32" w:name="_Toc321755024"/>
      <w:bookmarkStart w:id="33" w:name="_Toc320607302"/>
      <w:bookmarkStart w:id="34" w:name="_Toc320608535"/>
      <w:bookmarkStart w:id="35" w:name="_Toc318103460"/>
      <w:r>
        <w:rPr>
          <w:rFonts w:hint="eastAsia"/>
          <w:sz w:val="32"/>
          <w:szCs w:val="32"/>
        </w:rPr>
        <w:t>铝热轧输送辊道</w:t>
      </w:r>
      <w:bookmarkEnd w:id="20"/>
      <w:bookmarkEnd w:id="21"/>
      <w:bookmarkEnd w:id="22"/>
    </w:p>
    <w:p>
      <w:pPr>
        <w:pStyle w:val="46"/>
        <w:rPr>
          <w:rFonts w:hint="eastAsia"/>
        </w:rPr>
      </w:pPr>
      <w:bookmarkStart w:id="36" w:name="_Toc61356303"/>
      <w:r>
        <w:rPr>
          <w:rFonts w:hint="eastAsia"/>
        </w:rPr>
        <w:t>范围</w:t>
      </w:r>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23"/>
        <w:rPr>
          <w:rFonts w:hint="eastAsia" w:hAnsi="宋体" w:cs="Arial"/>
          <w:color w:val="FF0000"/>
        </w:rPr>
      </w:pPr>
      <w:r>
        <w:rPr>
          <w:rFonts w:hint="eastAsia" w:hAnsi="宋体" w:cs="Arial"/>
        </w:rPr>
        <w:t>本文件规定了铝热轧输送辊道的型式</w:t>
      </w:r>
      <w:r>
        <w:rPr>
          <w:rFonts w:hint="eastAsia" w:hAnsi="宋体" w:cs="Arial"/>
          <w:lang w:val="en-US" w:eastAsia="zh-CN"/>
        </w:rPr>
        <w:t>分类</w:t>
      </w:r>
      <w:r>
        <w:rPr>
          <w:rFonts w:hint="eastAsia" w:hAnsi="宋体" w:cs="Arial"/>
        </w:rPr>
        <w:t>、基本参数、</w:t>
      </w:r>
      <w:r>
        <w:rPr>
          <w:rFonts w:hAnsi="宋体" w:cs="Arial"/>
        </w:rPr>
        <w:t>技术要求</w:t>
      </w:r>
      <w:r>
        <w:rPr>
          <w:rFonts w:hint="eastAsia" w:hAnsi="宋体" w:cs="Arial"/>
        </w:rPr>
        <w:t>，描述了相应的试验方法。</w:t>
      </w:r>
    </w:p>
    <w:p>
      <w:pPr>
        <w:pStyle w:val="23"/>
        <w:rPr>
          <w:rFonts w:hint="eastAsia" w:hAnsi="宋体" w:cs="Arial"/>
        </w:rPr>
      </w:pPr>
      <w:r>
        <w:rPr>
          <w:rFonts w:hint="eastAsia" w:hAnsi="宋体" w:cs="Arial"/>
        </w:rPr>
        <w:t>本文件</w:t>
      </w:r>
      <w:r>
        <w:rPr>
          <w:rFonts w:hAnsi="宋体" w:cs="Arial"/>
        </w:rPr>
        <w:t>适用于</w:t>
      </w:r>
      <w:r>
        <w:rPr>
          <w:rFonts w:hint="eastAsia" w:hAnsi="宋体" w:cs="Arial"/>
        </w:rPr>
        <w:t>铝板带热轧生产线运输板坯厚度</w:t>
      </w:r>
      <w:r>
        <w:rPr>
          <w:rFonts w:hint="eastAsia"/>
        </w:rPr>
        <w:t>不超过650mm的</w:t>
      </w:r>
      <w:r>
        <w:rPr>
          <w:rFonts w:hint="eastAsia" w:hAnsi="宋体" w:cs="Arial"/>
        </w:rPr>
        <w:t>输送辊道。</w:t>
      </w:r>
    </w:p>
    <w:p>
      <w:pPr>
        <w:pStyle w:val="46"/>
      </w:pPr>
      <w:bookmarkStart w:id="37" w:name="_Toc311145726"/>
      <w:bookmarkStart w:id="38" w:name="_Toc324155136"/>
      <w:bookmarkStart w:id="39" w:name="_Toc61356304"/>
      <w:r>
        <w:t>规范性引用文件</w:t>
      </w:r>
      <w:bookmarkEnd w:id="37"/>
      <w:bookmarkEnd w:id="38"/>
      <w:bookmarkEnd w:id="39"/>
    </w:p>
    <w:p>
      <w:pPr>
        <w:adjustRightInd w:val="0"/>
        <w:snapToGrid w:val="0"/>
        <w:ind w:firstLine="420" w:firstLineChars="200"/>
        <w:rPr>
          <w:rFonts w:hint="eastAsia" w:hAnsi="宋体" w:cs="Arial"/>
        </w:rPr>
      </w:pPr>
      <w:r>
        <w:rPr>
          <w:rFonts w:hint="eastAsia" w:ascii="宋体" w:hAnsi="宋体" w:eastAsia="宋体"/>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Ansi="宋体" w:cs="Arial"/>
        </w:rPr>
        <w:t>。</w:t>
      </w:r>
    </w:p>
    <w:p>
      <w:pPr>
        <w:pStyle w:val="23"/>
        <w:rPr>
          <w:rFonts w:hint="eastAsia" w:hAnsi="宋体" w:cs="Arial"/>
        </w:rPr>
      </w:pPr>
      <w:r>
        <w:rPr>
          <w:rFonts w:hAnsi="宋体" w:cs="Arial"/>
        </w:rPr>
        <w:t xml:space="preserve">GB/T </w:t>
      </w:r>
      <w:r>
        <w:rPr>
          <w:rFonts w:hint="eastAsia" w:hAnsi="宋体" w:cs="Arial"/>
        </w:rPr>
        <w:t>699  优质</w:t>
      </w:r>
      <w:r>
        <w:rPr>
          <w:rFonts w:hAnsi="宋体" w:cs="Arial"/>
        </w:rPr>
        <w:t>碳素结构钢</w:t>
      </w:r>
    </w:p>
    <w:p>
      <w:pPr>
        <w:pStyle w:val="23"/>
        <w:rPr>
          <w:rFonts w:hint="eastAsia" w:hAnsi="宋体" w:cs="Arial"/>
        </w:rPr>
      </w:pPr>
      <w:r>
        <w:rPr>
          <w:rFonts w:hAnsi="宋体" w:cs="Arial"/>
        </w:rPr>
        <w:t>GB/T 700  碳素结构钢</w:t>
      </w:r>
    </w:p>
    <w:p>
      <w:pPr>
        <w:pStyle w:val="23"/>
        <w:rPr>
          <w:rFonts w:hAnsi="宋体" w:cs="Arial"/>
        </w:rPr>
      </w:pPr>
      <w:r>
        <w:rPr>
          <w:rFonts w:hAnsi="宋体" w:cs="Arial"/>
        </w:rPr>
        <w:t xml:space="preserve">GB/T </w:t>
      </w:r>
      <w:r>
        <w:rPr>
          <w:rFonts w:hint="eastAsia" w:hAnsi="宋体" w:cs="Arial"/>
        </w:rPr>
        <w:t>1591  低合金高强度</w:t>
      </w:r>
      <w:r>
        <w:rPr>
          <w:rFonts w:hAnsi="宋体" w:cs="Arial"/>
        </w:rPr>
        <w:t>结构钢</w:t>
      </w:r>
    </w:p>
    <w:p>
      <w:pPr>
        <w:adjustRightInd w:val="0"/>
        <w:snapToGrid w:val="0"/>
        <w:ind w:firstLine="420" w:firstLineChars="200"/>
        <w:rPr>
          <w:rFonts w:hint="eastAsia" w:hAnsi="宋体" w:cs="Arial"/>
        </w:rPr>
      </w:pPr>
      <w:r>
        <w:rPr>
          <w:rFonts w:hint="eastAsia" w:ascii="宋体" w:hAnsi="宋体"/>
        </w:rPr>
        <w:t>GB/T 1184—1996</w:t>
      </w:r>
      <w:r>
        <w:rPr>
          <w:rFonts w:ascii="宋体" w:hAnsi="宋体"/>
        </w:rPr>
        <w:t xml:space="preserve">  形状和位置公差  未注公差值</w:t>
      </w:r>
    </w:p>
    <w:p>
      <w:pPr>
        <w:pStyle w:val="23"/>
      </w:pPr>
      <w:r>
        <w:rPr>
          <w:rFonts w:hAnsi="宋体" w:cs="Arial"/>
        </w:rPr>
        <w:t>GB/T</w:t>
      </w:r>
      <w:r>
        <w:rPr>
          <w:rFonts w:hint="eastAsia" w:hAnsi="宋体" w:cs="Arial"/>
        </w:rPr>
        <w:t xml:space="preserve"> 1800.2—2020  </w:t>
      </w:r>
      <w:r>
        <w:rPr>
          <w:rFonts w:hint="eastAsia"/>
        </w:rPr>
        <w:t xml:space="preserve">产品几何技术规范（GPS）  </w:t>
      </w:r>
      <w:r>
        <w:rPr>
          <w:rFonts w:hint="eastAsia" w:hAnsi="宋体"/>
          <w:szCs w:val="21"/>
        </w:rPr>
        <w:t>线性尺寸公差ISO代号体系</w:t>
      </w:r>
      <w:r>
        <w:rPr>
          <w:rFonts w:hint="eastAsia"/>
        </w:rPr>
        <w:t xml:space="preserve">  第2部分：标准公差等级和孔、轴极限偏差表</w:t>
      </w:r>
    </w:p>
    <w:p>
      <w:pPr>
        <w:pStyle w:val="23"/>
        <w:rPr>
          <w:rFonts w:hAnsi="宋体" w:cs="Arial"/>
        </w:rPr>
      </w:pPr>
      <w:r>
        <w:rPr>
          <w:rFonts w:hAnsi="宋体" w:cs="Arial"/>
        </w:rPr>
        <w:t>GB/T 3077  合金结构钢</w:t>
      </w:r>
    </w:p>
    <w:p>
      <w:pPr>
        <w:pStyle w:val="23"/>
        <w:rPr>
          <w:rFonts w:hAnsi="宋体" w:cs="Arial"/>
        </w:rPr>
      </w:pPr>
      <w:r>
        <w:rPr>
          <w:rFonts w:hint="eastAsia" w:hAnsi="宋体" w:cs="Arial"/>
        </w:rPr>
        <w:t>GB/T 9239.1—2006  机械振动  恒态（刚性）转子平衡品质要求  第1部分：规范和平衡允差的检验</w:t>
      </w:r>
    </w:p>
    <w:p>
      <w:pPr>
        <w:adjustRightInd w:val="0"/>
        <w:snapToGrid w:val="0"/>
        <w:ind w:firstLine="420" w:firstLineChars="200"/>
        <w:rPr>
          <w:rFonts w:hint="eastAsia" w:hAnsi="宋体"/>
        </w:rPr>
      </w:pPr>
      <w:r>
        <w:rPr>
          <w:rFonts w:ascii="宋体" w:hAnsi="宋体"/>
        </w:rPr>
        <w:t xml:space="preserve">GB/T </w:t>
      </w:r>
      <w:r>
        <w:rPr>
          <w:rFonts w:hint="eastAsia" w:ascii="宋体" w:hAnsi="宋体"/>
        </w:rPr>
        <w:t xml:space="preserve">11345  </w:t>
      </w:r>
      <w:r>
        <w:rPr>
          <w:rFonts w:hint="eastAsia" w:hAnsi="宋体"/>
        </w:rPr>
        <w:t>焊缝无损检测  超声波检测  技术、检测等级和评定</w:t>
      </w:r>
    </w:p>
    <w:p>
      <w:pPr>
        <w:adjustRightInd w:val="0"/>
        <w:snapToGrid w:val="0"/>
        <w:ind w:firstLine="420" w:firstLineChars="200"/>
        <w:rPr>
          <w:rFonts w:hint="eastAsia" w:hAnsi="宋体" w:cs="Arial"/>
        </w:rPr>
      </w:pPr>
      <w:r>
        <w:rPr>
          <w:rFonts w:hint="eastAsia" w:ascii="宋体" w:hAnsi="宋体"/>
        </w:rPr>
        <w:t xml:space="preserve">GB/T 29712  </w:t>
      </w:r>
      <w:r>
        <w:rPr>
          <w:rFonts w:hint="eastAsia" w:hAnsi="宋体"/>
        </w:rPr>
        <w:t>焊缝无损检测  超声检测  验收等级</w:t>
      </w:r>
    </w:p>
    <w:p>
      <w:pPr>
        <w:adjustRightInd w:val="0"/>
        <w:snapToGrid w:val="0"/>
        <w:ind w:firstLine="420" w:firstLineChars="200"/>
        <w:rPr>
          <w:rFonts w:ascii="宋体" w:hAnsi="宋体"/>
        </w:rPr>
      </w:pPr>
      <w:r>
        <w:rPr>
          <w:rFonts w:hint="eastAsia" w:ascii="宋体" w:hAnsi="宋体"/>
        </w:rPr>
        <w:t>GB/T 37400</w:t>
      </w:r>
      <w:r>
        <w:rPr>
          <w:rFonts w:ascii="宋体" w:hAnsi="宋体"/>
        </w:rPr>
        <w:t>.1</w:t>
      </w:r>
      <w:r>
        <w:rPr>
          <w:rFonts w:hint="eastAsia" w:ascii="宋体" w:hAnsi="宋体"/>
        </w:rPr>
        <w:t xml:space="preserve">  </w:t>
      </w:r>
      <w:r>
        <w:rPr>
          <w:rFonts w:ascii="宋体" w:hAnsi="宋体"/>
        </w:rPr>
        <w:t>重型机械通用技术条件  第1部分：</w:t>
      </w:r>
      <w:r>
        <w:rPr>
          <w:rFonts w:hint="eastAsia" w:ascii="宋体" w:hAnsi="宋体"/>
        </w:rPr>
        <w:t>产品检验</w:t>
      </w:r>
    </w:p>
    <w:p>
      <w:pPr>
        <w:adjustRightInd w:val="0"/>
        <w:snapToGrid w:val="0"/>
        <w:ind w:firstLine="420" w:firstLineChars="200"/>
        <w:rPr>
          <w:rFonts w:hint="eastAsia" w:ascii="宋体" w:hAnsi="宋体"/>
        </w:rPr>
      </w:pPr>
      <w:r>
        <w:rPr>
          <w:rFonts w:hint="eastAsia" w:ascii="宋体" w:hAnsi="宋体"/>
        </w:rPr>
        <w:t>GB/T 37400</w:t>
      </w:r>
      <w:r>
        <w:rPr>
          <w:rFonts w:ascii="宋体" w:hAnsi="宋体"/>
        </w:rPr>
        <w:t>.2</w:t>
      </w:r>
      <w:r>
        <w:rPr>
          <w:rFonts w:hint="eastAsia" w:ascii="宋体" w:hAnsi="宋体"/>
        </w:rPr>
        <w:t xml:space="preserve">  </w:t>
      </w:r>
      <w:r>
        <w:rPr>
          <w:rFonts w:ascii="宋体" w:hAnsi="宋体"/>
        </w:rPr>
        <w:t>重型机械通用技术条件  第2部分：</w:t>
      </w:r>
      <w:r>
        <w:rPr>
          <w:rFonts w:hint="eastAsia" w:ascii="宋体" w:hAnsi="宋体"/>
        </w:rPr>
        <w:t>热切割和弯曲成形</w:t>
      </w:r>
    </w:p>
    <w:p>
      <w:pPr>
        <w:adjustRightInd w:val="0"/>
        <w:snapToGrid w:val="0"/>
        <w:ind w:firstLine="420" w:firstLineChars="200"/>
        <w:rPr>
          <w:rFonts w:ascii="宋体" w:hAnsi="宋体"/>
        </w:rPr>
      </w:pPr>
      <w:r>
        <w:rPr>
          <w:rFonts w:hint="eastAsia" w:ascii="宋体" w:hAnsi="宋体"/>
        </w:rPr>
        <w:t>GB/T 37400</w:t>
      </w:r>
      <w:r>
        <w:rPr>
          <w:rFonts w:ascii="宋体" w:hAnsi="宋体"/>
        </w:rPr>
        <w:t>.3</w:t>
      </w:r>
      <w:r>
        <w:rPr>
          <w:rFonts w:hint="eastAsia" w:ascii="宋体" w:hAnsi="宋体"/>
        </w:rPr>
        <w:t xml:space="preserve">  </w:t>
      </w:r>
      <w:r>
        <w:rPr>
          <w:rFonts w:ascii="宋体" w:hAnsi="宋体"/>
        </w:rPr>
        <w:t>重型机械通用技术条件  第3部分：焊接件</w:t>
      </w:r>
    </w:p>
    <w:p>
      <w:pPr>
        <w:adjustRightInd w:val="0"/>
        <w:snapToGrid w:val="0"/>
        <w:ind w:firstLine="420" w:firstLineChars="200"/>
        <w:rPr>
          <w:rFonts w:ascii="宋体" w:hAnsi="宋体"/>
        </w:rPr>
      </w:pPr>
      <w:r>
        <w:rPr>
          <w:rFonts w:hint="eastAsia" w:ascii="宋体" w:hAnsi="宋体"/>
        </w:rPr>
        <w:t>GB/T 37400</w:t>
      </w:r>
      <w:r>
        <w:rPr>
          <w:rFonts w:ascii="宋体" w:hAnsi="宋体"/>
        </w:rPr>
        <w:t>.8  重型机械通用技术条件  第8部分：锻件</w:t>
      </w:r>
    </w:p>
    <w:p>
      <w:pPr>
        <w:adjustRightInd w:val="0"/>
        <w:snapToGrid w:val="0"/>
        <w:ind w:firstLine="420" w:firstLineChars="200"/>
        <w:rPr>
          <w:rFonts w:ascii="宋体" w:hAnsi="宋体"/>
        </w:rPr>
      </w:pPr>
      <w:r>
        <w:rPr>
          <w:rFonts w:hint="eastAsia" w:ascii="宋体" w:hAnsi="宋体"/>
        </w:rPr>
        <w:t>GB/T 37400</w:t>
      </w:r>
      <w:r>
        <w:rPr>
          <w:rFonts w:ascii="宋体" w:hAnsi="宋体"/>
        </w:rPr>
        <w:t>.9  重型机械通用技术条件  第9部分：切削加工件</w:t>
      </w:r>
    </w:p>
    <w:p>
      <w:pPr>
        <w:adjustRightInd w:val="0"/>
        <w:snapToGrid w:val="0"/>
        <w:ind w:firstLine="420" w:firstLineChars="200"/>
        <w:rPr>
          <w:rFonts w:ascii="宋体" w:hAnsi="宋体"/>
        </w:rPr>
      </w:pPr>
      <w:r>
        <w:rPr>
          <w:rFonts w:hint="eastAsia" w:ascii="宋体" w:hAnsi="宋体"/>
        </w:rPr>
        <w:t>GB/T 37400</w:t>
      </w:r>
      <w:r>
        <w:rPr>
          <w:rFonts w:ascii="宋体" w:hAnsi="宋体"/>
        </w:rPr>
        <w:t>.10</w:t>
      </w:r>
      <w:r>
        <w:rPr>
          <w:rFonts w:hint="eastAsia" w:ascii="宋体" w:hAnsi="宋体"/>
        </w:rPr>
        <w:t xml:space="preserve">  </w:t>
      </w:r>
      <w:r>
        <w:rPr>
          <w:rFonts w:ascii="宋体" w:hAnsi="宋体"/>
        </w:rPr>
        <w:t>重型机械通用技术条件  第10部分：装配</w:t>
      </w:r>
    </w:p>
    <w:p>
      <w:pPr>
        <w:adjustRightInd w:val="0"/>
        <w:snapToGrid w:val="0"/>
        <w:ind w:firstLine="420" w:firstLineChars="200"/>
        <w:rPr>
          <w:rFonts w:ascii="宋体" w:hAnsi="宋体"/>
        </w:rPr>
      </w:pPr>
      <w:r>
        <w:rPr>
          <w:rFonts w:hint="eastAsia" w:ascii="宋体" w:hAnsi="宋体"/>
        </w:rPr>
        <w:t>GB/T 37400</w:t>
      </w:r>
      <w:r>
        <w:rPr>
          <w:rFonts w:ascii="宋体" w:hAnsi="宋体"/>
        </w:rPr>
        <w:t>.11  重型机械通用技术条件  第11部分：配管</w:t>
      </w:r>
    </w:p>
    <w:p>
      <w:pPr>
        <w:adjustRightInd w:val="0"/>
        <w:snapToGrid w:val="0"/>
        <w:ind w:firstLine="420" w:firstLineChars="200"/>
        <w:rPr>
          <w:rFonts w:ascii="宋体" w:hAnsi="宋体"/>
        </w:rPr>
      </w:pPr>
      <w:r>
        <w:rPr>
          <w:rFonts w:hint="eastAsia" w:ascii="宋体" w:hAnsi="宋体"/>
        </w:rPr>
        <w:t>GB/T 37400</w:t>
      </w:r>
      <w:r>
        <w:rPr>
          <w:rFonts w:ascii="宋体" w:hAnsi="宋体"/>
        </w:rPr>
        <w:t>.12  重型机械通用技术条件  第12部分：涂装</w:t>
      </w:r>
    </w:p>
    <w:p>
      <w:pPr>
        <w:adjustRightInd w:val="0"/>
        <w:snapToGrid w:val="0"/>
        <w:ind w:firstLine="420" w:firstLineChars="200"/>
        <w:rPr>
          <w:rFonts w:ascii="宋体" w:hAnsi="宋体"/>
        </w:rPr>
      </w:pPr>
      <w:r>
        <w:rPr>
          <w:rFonts w:hint="eastAsia" w:ascii="宋体" w:hAnsi="宋体"/>
        </w:rPr>
        <w:t>GB/T 37400</w:t>
      </w:r>
      <w:r>
        <w:rPr>
          <w:rFonts w:ascii="宋体" w:hAnsi="宋体"/>
        </w:rPr>
        <w:t>.13  重型机械通用技术条件  第13部分：包装</w:t>
      </w:r>
    </w:p>
    <w:p>
      <w:pPr>
        <w:adjustRightInd w:val="0"/>
        <w:snapToGrid w:val="0"/>
        <w:ind w:firstLine="420" w:firstLineChars="200"/>
        <w:rPr>
          <w:rFonts w:hint="eastAsia" w:ascii="宋体" w:hAnsi="宋体"/>
        </w:rPr>
      </w:pPr>
      <w:r>
        <w:rPr>
          <w:rFonts w:hint="eastAsia" w:ascii="宋体" w:hAnsi="宋体"/>
        </w:rPr>
        <w:t>GB/T 37400</w:t>
      </w:r>
      <w:r>
        <w:rPr>
          <w:rFonts w:ascii="宋体" w:hAnsi="宋体"/>
        </w:rPr>
        <w:t>.15</w:t>
      </w:r>
      <w:r>
        <w:rPr>
          <w:rFonts w:hint="eastAsia" w:ascii="宋体" w:hAnsi="宋体"/>
        </w:rPr>
        <w:t>—20</w:t>
      </w:r>
      <w:r>
        <w:rPr>
          <w:rFonts w:ascii="宋体" w:hAnsi="宋体"/>
        </w:rPr>
        <w:t>19  重型机械通用技术条件  第15部分：锻钢件无损</w:t>
      </w:r>
      <w:r>
        <w:rPr>
          <w:rFonts w:hint="eastAsia" w:ascii="宋体" w:hAnsi="宋体"/>
        </w:rPr>
        <w:t>探伤</w:t>
      </w:r>
    </w:p>
    <w:p>
      <w:pPr>
        <w:pStyle w:val="46"/>
        <w:rPr>
          <w:rFonts w:hint="eastAsia" w:ascii="宋体" w:hAnsi="宋体"/>
        </w:rPr>
      </w:pPr>
      <w:bookmarkStart w:id="40" w:name="_Toc61356305"/>
      <w:r>
        <w:rPr>
          <w:rFonts w:ascii="宋体" w:hAnsi="宋体"/>
        </w:rPr>
        <w:t>术语和定义</w:t>
      </w:r>
      <w:bookmarkEnd w:id="40"/>
    </w:p>
    <w:p>
      <w:pPr>
        <w:pStyle w:val="23"/>
        <w:ind w:firstLine="0" w:firstLineChars="0"/>
        <w:rPr>
          <w:rFonts w:hint="eastAsia"/>
        </w:rPr>
      </w:pPr>
      <w:r>
        <w:rPr>
          <w:rFonts w:hint="eastAsia"/>
        </w:rPr>
        <w:t xml:space="preserve"> </w:t>
      </w:r>
      <w:r>
        <w:t xml:space="preserve">   </w:t>
      </w:r>
      <w:r>
        <w:rPr>
          <w:rFonts w:hint="eastAsia"/>
        </w:rPr>
        <w:t>下列术语和定义适用于本文件。</w:t>
      </w:r>
    </w:p>
    <w:p>
      <w:pPr>
        <w:pStyle w:val="23"/>
        <w:ind w:firstLine="0" w:firstLineChars="0"/>
        <w:rPr>
          <w:rFonts w:ascii="黑体" w:hAnsi="黑体" w:eastAsia="黑体"/>
        </w:rPr>
      </w:pPr>
      <w:r>
        <w:rPr>
          <w:rFonts w:hint="eastAsia" w:ascii="黑体" w:hAnsi="黑体" w:eastAsia="黑体"/>
        </w:rPr>
        <w:t>3</w:t>
      </w:r>
      <w:r>
        <w:rPr>
          <w:rFonts w:ascii="黑体" w:hAnsi="黑体" w:eastAsia="黑体"/>
        </w:rPr>
        <w:t xml:space="preserve">.1  </w:t>
      </w:r>
    </w:p>
    <w:p>
      <w:pPr>
        <w:pStyle w:val="23"/>
        <w:rPr>
          <w:rFonts w:hint="eastAsia" w:ascii="黑体" w:hAnsi="黑体" w:eastAsia="黑体" w:cs="黑体"/>
        </w:rPr>
      </w:pPr>
      <w:r>
        <w:rPr>
          <w:rFonts w:hint="eastAsia" w:ascii="黑体" w:hAnsi="黑体" w:eastAsia="黑体" w:cs="黑体"/>
        </w:rPr>
        <w:t>输送辊道 conveyor table</w:t>
      </w:r>
    </w:p>
    <w:p>
      <w:pPr>
        <w:pStyle w:val="23"/>
      </w:pPr>
      <w:r>
        <w:rPr>
          <w:rFonts w:hint="eastAsia" w:hAnsi="宋体" w:cs="Arial"/>
        </w:rPr>
        <w:t>铝板带热轧生产线中，</w:t>
      </w:r>
      <w:r>
        <w:t>靠传动的辊子输送轧件的一种运输设备</w:t>
      </w:r>
      <w:r>
        <w:rPr>
          <w:rFonts w:hint="eastAsia"/>
        </w:rPr>
        <w:t>。</w:t>
      </w:r>
    </w:p>
    <w:p>
      <w:pPr>
        <w:pStyle w:val="23"/>
        <w:ind w:firstLine="360"/>
        <w:rPr>
          <w:sz w:val="18"/>
          <w:szCs w:val="18"/>
        </w:rPr>
      </w:pPr>
      <w:r>
        <w:rPr>
          <w:rFonts w:hint="eastAsia" w:ascii="黑体" w:hAnsi="黑体" w:eastAsia="黑体"/>
          <w:sz w:val="18"/>
          <w:szCs w:val="18"/>
        </w:rPr>
        <w:t>注：</w:t>
      </w:r>
      <w:r>
        <w:rPr>
          <w:rFonts w:hint="eastAsia"/>
          <w:sz w:val="18"/>
          <w:szCs w:val="18"/>
        </w:rPr>
        <w:t>本文件所提到的输送辊道不包括紧邻轧机前后的工作辊道及轧机内机架辊道。</w:t>
      </w:r>
    </w:p>
    <w:p>
      <w:pPr>
        <w:pStyle w:val="46"/>
        <w:rPr>
          <w:rFonts w:hint="eastAsia"/>
        </w:rPr>
      </w:pPr>
      <w:bookmarkStart w:id="41" w:name="_Toc61356306"/>
      <w:r>
        <w:rPr>
          <w:rFonts w:hint="eastAsia"/>
        </w:rPr>
        <w:t>型式</w:t>
      </w:r>
      <w:bookmarkEnd w:id="41"/>
      <w:r>
        <w:rPr>
          <w:rFonts w:hint="eastAsia"/>
          <w:lang w:val="en-US" w:eastAsia="zh-CN"/>
        </w:rPr>
        <w:t>分类</w:t>
      </w:r>
    </w:p>
    <w:p>
      <w:pPr>
        <w:pStyle w:val="23"/>
        <w:ind w:firstLine="0" w:firstLineChars="0"/>
      </w:pPr>
      <w:r>
        <w:rPr>
          <w:rFonts w:hint="eastAsia" w:ascii="黑体" w:hAnsi="黑体" w:eastAsia="黑体" w:cs="黑体"/>
        </w:rPr>
        <w:t>4.1</w:t>
      </w:r>
      <w:r>
        <w:t xml:space="preserve">  </w:t>
      </w:r>
      <w:r>
        <w:rPr>
          <w:rFonts w:hint="eastAsia"/>
        </w:rPr>
        <w:t>根据输送板坯厚度和宽度的不同，铝热轧输送辊道（以下简称为“输送辊道”）型式分为：</w:t>
      </w:r>
    </w:p>
    <w:p>
      <w:pPr>
        <w:pStyle w:val="23"/>
        <w:rPr>
          <w:rFonts w:hint="eastAsia"/>
        </w:rPr>
      </w:pPr>
      <w:r>
        <w:rPr>
          <w:rFonts w:hint="eastAsia"/>
        </w:rPr>
        <w:t>——实心双锥辊道（见图1），</w:t>
      </w:r>
    </w:p>
    <w:p>
      <w:pPr>
        <w:pStyle w:val="23"/>
        <w:rPr>
          <w:rFonts w:hint="eastAsia"/>
        </w:rPr>
      </w:pPr>
      <w:r>
        <w:rPr>
          <w:rFonts w:hint="eastAsia"/>
        </w:rPr>
        <w:t>——直辊对称斜装辊道（见图2）。</w:t>
      </w:r>
    </w:p>
    <w:p>
      <w:pPr>
        <w:pStyle w:val="23"/>
        <w:ind w:firstLine="0" w:firstLineChars="0"/>
        <w:jc w:val="center"/>
        <w:rPr>
          <w:rFonts w:hint="eastAsia"/>
        </w:rPr>
      </w:pPr>
      <w:r>
        <w:pict>
          <v:shape id="_x0000_i1025" o:spt="75" type="#_x0000_t75" style="height:250.75pt;width:453.95pt;" filled="f" o:preferrelative="t" stroked="f" coordsize="21600,21600">
            <v:path/>
            <v:fill on="f" focussize="0,0"/>
            <v:stroke on="f"/>
            <v:imagedata r:id="rId16" o:title=""/>
            <o:lock v:ext="edit" aspectratio="t"/>
            <w10:wrap type="none"/>
            <w10:anchorlock/>
          </v:shape>
        </w:pict>
      </w:r>
    </w:p>
    <w:p>
      <w:pPr>
        <w:pStyle w:val="23"/>
        <w:ind w:firstLine="0" w:firstLineChars="0"/>
        <w:jc w:val="left"/>
        <w:rPr>
          <w:rFonts w:hint="eastAsia"/>
          <w:sz w:val="15"/>
          <w:szCs w:val="15"/>
        </w:rPr>
      </w:pPr>
      <w:r>
        <w:rPr>
          <w:rFonts w:hint="eastAsia"/>
          <w:sz w:val="15"/>
          <w:szCs w:val="15"/>
        </w:rPr>
        <w:t>标引序号说明：</w:t>
      </w:r>
    </w:p>
    <w:p>
      <w:pPr>
        <w:pStyle w:val="23"/>
        <w:ind w:firstLine="0" w:firstLineChars="0"/>
        <w:jc w:val="left"/>
        <w:rPr>
          <w:rFonts w:hint="eastAsia"/>
          <w:sz w:val="15"/>
          <w:szCs w:val="15"/>
        </w:rPr>
      </w:pPr>
      <w:r>
        <w:rPr>
          <w:rFonts w:hint="eastAsia"/>
          <w:sz w:val="15"/>
          <w:szCs w:val="15"/>
        </w:rPr>
        <w:t>1——电机（齿轮马达）；2——联轴器；3——辊子装配；4——电机底座；5——联轴器护罩；6——辊道架装配；7——冷却润滑集管；</w:t>
      </w:r>
    </w:p>
    <w:p>
      <w:pPr>
        <w:pStyle w:val="23"/>
        <w:ind w:firstLine="0" w:firstLineChars="0"/>
        <w:jc w:val="left"/>
        <w:rPr>
          <w:rFonts w:hint="eastAsia"/>
          <w:sz w:val="15"/>
          <w:szCs w:val="15"/>
        </w:rPr>
      </w:pPr>
      <w:r>
        <w:rPr>
          <w:rFonts w:hint="eastAsia"/>
          <w:sz w:val="15"/>
          <w:szCs w:val="15"/>
        </w:rPr>
        <w:t>8——辊间盖板。</w:t>
      </w:r>
    </w:p>
    <w:p>
      <w:pPr>
        <w:pStyle w:val="23"/>
        <w:spacing w:before="156" w:beforeLines="50" w:after="312" w:afterLines="100"/>
        <w:ind w:firstLine="0" w:firstLineChars="0"/>
        <w:jc w:val="center"/>
        <w:rPr>
          <w:rFonts w:hint="eastAsia" w:ascii="黑体" w:hAnsi="黑体" w:eastAsia="黑体"/>
        </w:rPr>
      </w:pPr>
      <w:r>
        <w:rPr>
          <w:rFonts w:hint="eastAsia" w:ascii="黑体" w:hAnsi="黑体" w:eastAsia="黑体"/>
        </w:rPr>
        <w:t>图1</w:t>
      </w:r>
      <w:r>
        <w:rPr>
          <w:rFonts w:ascii="黑体" w:hAnsi="黑体" w:eastAsia="黑体"/>
        </w:rPr>
        <w:t xml:space="preserve"> </w:t>
      </w:r>
      <w:r>
        <w:rPr>
          <w:rFonts w:hint="eastAsia" w:ascii="黑体" w:hAnsi="黑体" w:eastAsia="黑体"/>
        </w:rPr>
        <w:t xml:space="preserve"> 实心双锥辊道型式</w:t>
      </w:r>
    </w:p>
    <w:p>
      <w:pPr>
        <w:pStyle w:val="23"/>
        <w:ind w:firstLine="0" w:firstLineChars="0"/>
        <w:jc w:val="left"/>
        <w:rPr>
          <w:rFonts w:hint="eastAsia"/>
        </w:rPr>
      </w:pPr>
      <w:r>
        <w:pict>
          <v:shape id="_x0000_i1026" o:spt="75" type="#_x0000_t75" style="height:294.75pt;width:472.7pt;" filled="f" o:preferrelative="t" stroked="f" coordsize="21600,21600">
            <v:path/>
            <v:fill on="f" focussize="0,0"/>
            <v:stroke on="f"/>
            <v:imagedata r:id="rId17" o:title=""/>
            <o:lock v:ext="edit" aspectratio="t"/>
            <w10:wrap type="none"/>
            <w10:anchorlock/>
          </v:shape>
        </w:pict>
      </w:r>
    </w:p>
    <w:p>
      <w:pPr>
        <w:pStyle w:val="23"/>
        <w:ind w:firstLine="0" w:firstLineChars="0"/>
        <w:jc w:val="left"/>
        <w:rPr>
          <w:rFonts w:hint="eastAsia"/>
          <w:sz w:val="15"/>
          <w:szCs w:val="15"/>
        </w:rPr>
      </w:pPr>
      <w:r>
        <w:rPr>
          <w:rFonts w:hint="eastAsia"/>
          <w:sz w:val="15"/>
          <w:szCs w:val="15"/>
        </w:rPr>
        <w:t>标引序号说明：</w:t>
      </w:r>
    </w:p>
    <w:p>
      <w:pPr>
        <w:pStyle w:val="23"/>
        <w:ind w:firstLine="0" w:firstLineChars="0"/>
        <w:jc w:val="left"/>
        <w:rPr>
          <w:sz w:val="15"/>
          <w:szCs w:val="15"/>
        </w:rPr>
      </w:pPr>
      <w:r>
        <w:rPr>
          <w:rFonts w:hint="eastAsia"/>
          <w:sz w:val="15"/>
          <w:szCs w:val="15"/>
        </w:rPr>
        <w:t>1——电机（齿轮马达）；2——联轴器；3——辊子装配；4——联轴器护罩；5——冷却润滑集管；6——辊道架装配；7——辊间盖板。</w:t>
      </w:r>
    </w:p>
    <w:p>
      <w:pPr>
        <w:pStyle w:val="23"/>
        <w:spacing w:before="156" w:beforeLines="50" w:after="312" w:afterLines="100"/>
        <w:ind w:firstLine="0" w:firstLineChars="0"/>
        <w:jc w:val="center"/>
        <w:rPr>
          <w:rFonts w:ascii="黑体" w:hAnsi="黑体" w:eastAsia="黑体"/>
        </w:rPr>
      </w:pPr>
      <w:r>
        <w:rPr>
          <w:rFonts w:hint="eastAsia" w:ascii="黑体" w:hAnsi="黑体" w:eastAsia="黑体"/>
        </w:rPr>
        <w:t>图2</w:t>
      </w:r>
      <w:r>
        <w:rPr>
          <w:rFonts w:ascii="黑体" w:hAnsi="黑体" w:eastAsia="黑体"/>
        </w:rPr>
        <w:t xml:space="preserve"> </w:t>
      </w:r>
      <w:r>
        <w:rPr>
          <w:rFonts w:hint="eastAsia" w:ascii="黑体" w:hAnsi="黑体" w:eastAsia="黑体"/>
        </w:rPr>
        <w:t xml:space="preserve"> 直辊对称斜装辊道型式</w:t>
      </w:r>
    </w:p>
    <w:p>
      <w:pPr>
        <w:pStyle w:val="23"/>
        <w:ind w:firstLine="0" w:firstLineChars="0"/>
      </w:pPr>
      <w:r>
        <w:rPr>
          <w:rFonts w:hint="eastAsia" w:ascii="黑体" w:hAnsi="黑体" w:eastAsia="黑体" w:cs="黑体"/>
        </w:rPr>
        <w:t>4.2</w:t>
      </w:r>
      <w:r>
        <w:t xml:space="preserve">  </w:t>
      </w:r>
      <w:r>
        <w:rPr>
          <w:rFonts w:hint="eastAsia"/>
        </w:rPr>
        <w:t>按运输板坯厚度，输送辊道分为：</w:t>
      </w:r>
    </w:p>
    <w:p>
      <w:pPr>
        <w:pStyle w:val="23"/>
        <w:rPr>
          <w:rFonts w:hint="eastAsia"/>
        </w:rPr>
      </w:pPr>
      <w:r>
        <w:rPr>
          <w:rFonts w:hint="eastAsia"/>
        </w:rPr>
        <w:t>——轻型辊道（板坯厚度≤60mm），</w:t>
      </w:r>
    </w:p>
    <w:p>
      <w:pPr>
        <w:pStyle w:val="23"/>
        <w:rPr>
          <w:rFonts w:hint="eastAsia"/>
        </w:rPr>
      </w:pPr>
      <w:r>
        <w:rPr>
          <w:rFonts w:hint="eastAsia"/>
        </w:rPr>
        <w:t>——中型辊道（60mm＜板坯厚度≤150mm），</w:t>
      </w:r>
    </w:p>
    <w:p>
      <w:pPr>
        <w:pStyle w:val="23"/>
        <w:rPr>
          <w:rFonts w:hint="eastAsia" w:ascii="黑体" w:hAnsi="黑体" w:eastAsia="黑体"/>
        </w:rPr>
      </w:pPr>
      <w:r>
        <w:rPr>
          <w:rFonts w:hint="eastAsia"/>
        </w:rPr>
        <w:t>——重型辊道（150mm＜板坯厚度≤650mm）。</w:t>
      </w:r>
    </w:p>
    <w:p>
      <w:pPr>
        <w:pStyle w:val="46"/>
        <w:rPr>
          <w:rFonts w:hint="eastAsia"/>
        </w:rPr>
      </w:pPr>
      <w:bookmarkStart w:id="42" w:name="_Toc61356307"/>
      <w:r>
        <w:rPr>
          <w:rFonts w:hint="eastAsia"/>
        </w:rPr>
        <w:t>基本参数</w:t>
      </w:r>
      <w:bookmarkEnd w:id="42"/>
    </w:p>
    <w:p>
      <w:pPr>
        <w:pStyle w:val="23"/>
        <w:rPr>
          <w:rFonts w:hint="eastAsia"/>
        </w:rPr>
      </w:pPr>
      <w:r>
        <w:rPr>
          <w:rFonts w:hint="eastAsia"/>
        </w:rPr>
        <w:t>输送辊道的基本参数应符合表1的规定（各参数项代号见6.2.1）。</w:t>
      </w:r>
    </w:p>
    <w:p>
      <w:pPr>
        <w:pStyle w:val="23"/>
        <w:spacing w:before="156" w:beforeLines="50" w:after="156" w:afterLines="50"/>
        <w:jc w:val="center"/>
        <w:rPr>
          <w:rFonts w:hint="eastAsia" w:ascii="黑体" w:hAnsi="黑体" w:eastAsia="黑体" w:cs="黑体"/>
        </w:rPr>
      </w:pPr>
      <w:r>
        <w:rPr>
          <w:rFonts w:hint="eastAsia" w:ascii="黑体" w:hAnsi="黑体" w:eastAsia="黑体" w:cs="黑体"/>
        </w:rPr>
        <w:t>表1  基本参数</w:t>
      </w:r>
    </w:p>
    <w:tbl>
      <w:tblPr>
        <w:tblStyle w:val="32"/>
        <w:tblW w:w="9427" w:type="dxa"/>
        <w:tblInd w:w="-121" w:type="dxa"/>
        <w:tblLayout w:type="fixed"/>
        <w:tblCellMar>
          <w:top w:w="0" w:type="dxa"/>
          <w:left w:w="108" w:type="dxa"/>
          <w:bottom w:w="0" w:type="dxa"/>
          <w:right w:w="108" w:type="dxa"/>
        </w:tblCellMar>
      </w:tblPr>
      <w:tblGrid>
        <w:gridCol w:w="427"/>
        <w:gridCol w:w="772"/>
        <w:gridCol w:w="914"/>
        <w:gridCol w:w="914"/>
        <w:gridCol w:w="914"/>
        <w:gridCol w:w="914"/>
        <w:gridCol w:w="914"/>
        <w:gridCol w:w="914"/>
        <w:gridCol w:w="914"/>
        <w:gridCol w:w="914"/>
        <w:gridCol w:w="916"/>
      </w:tblGrid>
      <w:tr>
        <w:tblPrEx>
          <w:tblCellMar>
            <w:top w:w="0" w:type="dxa"/>
            <w:left w:w="108" w:type="dxa"/>
            <w:bottom w:w="0" w:type="dxa"/>
            <w:right w:w="108" w:type="dxa"/>
          </w:tblCellMar>
        </w:tblPrEx>
        <w:trPr>
          <w:trHeight w:val="270" w:hRule="atLeast"/>
        </w:trPr>
        <w:tc>
          <w:tcPr>
            <w:tcW w:w="1199" w:type="dxa"/>
            <w:gridSpan w:val="2"/>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辊道参数项</w:t>
            </w:r>
          </w:p>
        </w:tc>
        <w:tc>
          <w:tcPr>
            <w:tcW w:w="8228" w:type="dxa"/>
            <w:gridSpan w:val="9"/>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轧机规格  mm</w:t>
            </w:r>
          </w:p>
        </w:tc>
      </w:tr>
      <w:tr>
        <w:tblPrEx>
          <w:tblCellMar>
            <w:top w:w="0" w:type="dxa"/>
            <w:left w:w="108" w:type="dxa"/>
            <w:bottom w:w="0" w:type="dxa"/>
            <w:right w:w="108" w:type="dxa"/>
          </w:tblCellMar>
        </w:tblPrEx>
        <w:trPr>
          <w:trHeight w:val="270" w:hRule="atLeast"/>
        </w:trPr>
        <w:tc>
          <w:tcPr>
            <w:tcW w:w="1199" w:type="dxa"/>
            <w:gridSpan w:val="2"/>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850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000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400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600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300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600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950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300</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r>
              <w:rPr>
                <w:rFonts w:hint="eastAsia" w:ascii="宋体" w:hAnsi="宋体" w:cs="宋体"/>
                <w:color w:val="000000"/>
                <w:kern w:val="0"/>
                <w:sz w:val="18"/>
                <w:szCs w:val="18"/>
                <w:lang w:val="en-US" w:eastAsia="zh-CN" w:bidi="ar"/>
              </w:rPr>
              <w:t xml:space="preserve"> </w:t>
            </w:r>
            <w:r>
              <w:rPr>
                <w:rFonts w:hint="eastAsia" w:ascii="宋体" w:hAnsi="宋体" w:cs="宋体"/>
                <w:color w:val="000000"/>
                <w:kern w:val="0"/>
                <w:sz w:val="18"/>
                <w:szCs w:val="18"/>
                <w:lang w:bidi="ar"/>
              </w:rPr>
              <w:t>500</w:t>
            </w:r>
          </w:p>
        </w:tc>
      </w:tr>
      <w:tr>
        <w:tblPrEx>
          <w:tblCellMar>
            <w:top w:w="0" w:type="dxa"/>
            <w:left w:w="108" w:type="dxa"/>
            <w:bottom w:w="0" w:type="dxa"/>
            <w:right w:w="108" w:type="dxa"/>
          </w:tblCellMar>
        </w:tblPrEx>
        <w:trPr>
          <w:trHeight w:val="301" w:hRule="atLeast"/>
        </w:trPr>
        <w:tc>
          <w:tcPr>
            <w:tcW w:w="42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重</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型</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辊</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道</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型式</w:t>
            </w:r>
          </w:p>
        </w:tc>
        <w:tc>
          <w:tcPr>
            <w:tcW w:w="4570"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sz w:val="18"/>
                <w:szCs w:val="18"/>
              </w:rPr>
              <w:t>实心双锥辊道</w:t>
            </w:r>
          </w:p>
        </w:tc>
        <w:tc>
          <w:tcPr>
            <w:tcW w:w="365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sz w:val="18"/>
                <w:szCs w:val="18"/>
              </w:rPr>
              <w:t>直辊对称斜装辊道</w:t>
            </w:r>
          </w:p>
        </w:tc>
      </w:tr>
      <w:tr>
        <w:tblPrEx>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辊身斜度</w:t>
            </w:r>
            <w:r>
              <w:rPr>
                <w:rStyle w:val="151"/>
                <w:sz w:val="18"/>
                <w:szCs w:val="18"/>
                <w:lang w:bidi="ar"/>
              </w:rPr>
              <w:t>S</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1:27</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r>
      <w:tr>
        <w:tblPrEx>
          <w:tblCellMar>
            <w:top w:w="0" w:type="dxa"/>
            <w:left w:w="108" w:type="dxa"/>
            <w:bottom w:w="0" w:type="dxa"/>
            <w:right w:w="108" w:type="dxa"/>
          </w:tblCellMar>
        </w:tblPrEx>
        <w:trPr>
          <w:trHeight w:val="315"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18"/>
                <w:szCs w:val="18"/>
                <w:lang w:val="en-US" w:eastAsia="zh-CN"/>
              </w:rPr>
            </w:pPr>
            <w:r>
              <w:rPr>
                <w:rStyle w:val="150"/>
                <w:sz w:val="18"/>
                <w:szCs w:val="18"/>
                <w:lang w:bidi="ar"/>
              </w:rPr>
              <w:t>小端直径</w:t>
            </w:r>
            <w:r>
              <w:rPr>
                <w:rStyle w:val="151"/>
                <w:sz w:val="18"/>
                <w:szCs w:val="18"/>
                <w:lang w:bidi="ar"/>
              </w:rPr>
              <w:t>d</w:t>
            </w:r>
            <w:r>
              <w:rPr>
                <w:rStyle w:val="152"/>
                <w:sz w:val="18"/>
                <w:szCs w:val="18"/>
                <w:lang w:bidi="ar"/>
              </w:rPr>
              <w:t>4</w:t>
            </w:r>
            <w:r>
              <w:rPr>
                <w:rStyle w:val="152"/>
                <w:rFonts w:hint="eastAsia"/>
                <w:sz w:val="18"/>
                <w:szCs w:val="18"/>
                <w:vertAlign w:val="baseline"/>
                <w:lang w:val="en-US" w:eastAsia="zh-CN" w:bidi="ar"/>
              </w:rPr>
              <w:t xml:space="preserve">  mm</w:t>
            </w:r>
          </w:p>
        </w:tc>
        <w:tc>
          <w:tcPr>
            <w:tcW w:w="914" w:type="dxa"/>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240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240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240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240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260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280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280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280</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280</w:t>
            </w:r>
          </w:p>
        </w:tc>
      </w:tr>
      <w:tr>
        <w:tblPrEx>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平直段长度</w:t>
            </w:r>
            <w:r>
              <w:rPr>
                <w:rStyle w:val="151"/>
                <w:sz w:val="18"/>
                <w:szCs w:val="18"/>
                <w:lang w:bidi="ar"/>
              </w:rPr>
              <w:t>L</w:t>
            </w:r>
            <w:r>
              <w:rPr>
                <w:rStyle w:val="152"/>
                <w:rFonts w:hint="eastAsia"/>
                <w:sz w:val="18"/>
                <w:szCs w:val="18"/>
                <w:vertAlign w:val="baseline"/>
                <w:lang w:val="en-US" w:eastAsia="zh-CN" w:bidi="ar"/>
              </w:rPr>
              <w:t xml:space="preserve"> mm</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r>
      <w:tr>
        <w:tblPrEx>
          <w:tblCellMar>
            <w:top w:w="0" w:type="dxa"/>
            <w:left w:w="108" w:type="dxa"/>
            <w:bottom w:w="0" w:type="dxa"/>
            <w:right w:w="108" w:type="dxa"/>
          </w:tblCellMar>
        </w:tblPrEx>
        <w:trPr>
          <w:trHeight w:val="325" w:hRule="atLeast"/>
        </w:trPr>
        <w:tc>
          <w:tcPr>
            <w:tcW w:w="42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中</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型</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辊</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道</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型式</w:t>
            </w:r>
          </w:p>
        </w:tc>
        <w:tc>
          <w:tcPr>
            <w:tcW w:w="4570"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sz w:val="18"/>
                <w:szCs w:val="18"/>
              </w:rPr>
              <w:t>实心双锥辊道</w:t>
            </w:r>
          </w:p>
        </w:tc>
        <w:tc>
          <w:tcPr>
            <w:tcW w:w="365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sz w:val="18"/>
                <w:szCs w:val="18"/>
              </w:rPr>
              <w:t>直辊对称斜装辊道</w:t>
            </w:r>
          </w:p>
        </w:tc>
      </w:tr>
      <w:tr>
        <w:tblPrEx>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辊身斜度</w:t>
            </w:r>
            <w:r>
              <w:rPr>
                <w:rStyle w:val="151"/>
                <w:sz w:val="18"/>
                <w:szCs w:val="18"/>
                <w:lang w:bidi="ar"/>
              </w:rPr>
              <w:t>S</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1:27</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r>
      <w:tr>
        <w:tblPrEx>
          <w:tblCellMar>
            <w:top w:w="0" w:type="dxa"/>
            <w:left w:w="108" w:type="dxa"/>
            <w:bottom w:w="0" w:type="dxa"/>
            <w:right w:w="108" w:type="dxa"/>
          </w:tblCellMar>
        </w:tblPrEx>
        <w:trPr>
          <w:trHeight w:val="315"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小端直径</w:t>
            </w:r>
            <w:r>
              <w:rPr>
                <w:rStyle w:val="151"/>
                <w:sz w:val="18"/>
                <w:szCs w:val="18"/>
                <w:lang w:bidi="ar"/>
              </w:rPr>
              <w:t>d</w:t>
            </w:r>
            <w:r>
              <w:rPr>
                <w:rStyle w:val="152"/>
                <w:sz w:val="18"/>
                <w:szCs w:val="18"/>
                <w:lang w:bidi="ar"/>
              </w:rPr>
              <w:t>4</w:t>
            </w:r>
            <w:r>
              <w:rPr>
                <w:rStyle w:val="152"/>
                <w:rFonts w:hint="eastAsia"/>
                <w:sz w:val="18"/>
                <w:szCs w:val="18"/>
                <w:vertAlign w:val="baseline"/>
                <w:lang w:val="en-US" w:eastAsia="zh-CN" w:bidi="ar"/>
              </w:rPr>
              <w:t xml:space="preserve"> mm</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220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220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220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220</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220</w:t>
            </w:r>
          </w:p>
        </w:tc>
      </w:tr>
      <w:tr>
        <w:tblPrEx>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平直段长度</w:t>
            </w:r>
            <w:r>
              <w:rPr>
                <w:rStyle w:val="151"/>
                <w:sz w:val="18"/>
                <w:szCs w:val="18"/>
                <w:lang w:bidi="ar"/>
              </w:rPr>
              <w:t>L</w:t>
            </w:r>
            <w:r>
              <w:rPr>
                <w:rStyle w:val="152"/>
                <w:rFonts w:hint="eastAsia"/>
                <w:sz w:val="18"/>
                <w:szCs w:val="18"/>
                <w:vertAlign w:val="baseline"/>
                <w:lang w:val="en-US" w:eastAsia="zh-CN" w:bidi="ar"/>
              </w:rPr>
              <w:t xml:space="preserve"> mm</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r>
      <w:tr>
        <w:tblPrEx>
          <w:tblCellMar>
            <w:top w:w="0" w:type="dxa"/>
            <w:left w:w="108" w:type="dxa"/>
            <w:bottom w:w="0" w:type="dxa"/>
            <w:right w:w="108" w:type="dxa"/>
          </w:tblCellMar>
        </w:tblPrEx>
        <w:trPr>
          <w:trHeight w:val="333" w:hRule="atLeast"/>
        </w:trPr>
        <w:tc>
          <w:tcPr>
            <w:tcW w:w="42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轻</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型</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辊</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道</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型式</w:t>
            </w:r>
          </w:p>
        </w:tc>
        <w:tc>
          <w:tcPr>
            <w:tcW w:w="4570"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sz w:val="18"/>
                <w:szCs w:val="18"/>
              </w:rPr>
              <w:t>实心双锥辊道</w:t>
            </w:r>
          </w:p>
        </w:tc>
        <w:tc>
          <w:tcPr>
            <w:tcW w:w="365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sz w:val="18"/>
                <w:szCs w:val="18"/>
              </w:rPr>
              <w:t>直辊对称斜装辊道</w:t>
            </w:r>
          </w:p>
        </w:tc>
      </w:tr>
      <w:tr>
        <w:tblPrEx>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辊身斜度</w:t>
            </w:r>
            <w:r>
              <w:rPr>
                <w:rStyle w:val="151"/>
                <w:sz w:val="18"/>
                <w:szCs w:val="18"/>
                <w:lang w:bidi="ar"/>
              </w:rPr>
              <w:t>S</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1:30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1:27</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w:t>
            </w:r>
          </w:p>
        </w:tc>
      </w:tr>
      <w:tr>
        <w:tblPrEx>
          <w:tblCellMar>
            <w:top w:w="0" w:type="dxa"/>
            <w:left w:w="108" w:type="dxa"/>
            <w:bottom w:w="0" w:type="dxa"/>
            <w:right w:w="108" w:type="dxa"/>
          </w:tblCellMar>
        </w:tblPrEx>
        <w:trPr>
          <w:trHeight w:val="315"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小端直径</w:t>
            </w:r>
            <w:r>
              <w:rPr>
                <w:rStyle w:val="151"/>
                <w:sz w:val="18"/>
                <w:szCs w:val="18"/>
                <w:lang w:bidi="ar"/>
              </w:rPr>
              <w:t>d</w:t>
            </w:r>
            <w:r>
              <w:rPr>
                <w:rStyle w:val="152"/>
                <w:sz w:val="18"/>
                <w:szCs w:val="18"/>
                <w:lang w:bidi="ar"/>
              </w:rPr>
              <w:t>4</w:t>
            </w:r>
            <w:r>
              <w:rPr>
                <w:rStyle w:val="152"/>
                <w:rFonts w:hint="eastAsia"/>
                <w:sz w:val="18"/>
                <w:szCs w:val="18"/>
                <w:vertAlign w:val="baseline"/>
                <w:lang w:val="en-US" w:eastAsia="zh-CN" w:bidi="ar"/>
              </w:rPr>
              <w:t xml:space="preserve"> mm</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160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160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165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165</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r>
      <w:tr>
        <w:tblPrEx>
          <w:tblCellMar>
            <w:top w:w="0" w:type="dxa"/>
            <w:left w:w="108" w:type="dxa"/>
            <w:bottom w:w="0" w:type="dxa"/>
            <w:right w:w="108" w:type="dxa"/>
          </w:tblCellMar>
        </w:tblPrEx>
        <w:trPr>
          <w:trHeight w:val="270" w:hRule="atLeast"/>
        </w:trPr>
        <w:tc>
          <w:tcPr>
            <w:tcW w:w="4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18"/>
                <w:szCs w:val="18"/>
              </w:rPr>
            </w:pP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Style w:val="150"/>
                <w:sz w:val="18"/>
                <w:szCs w:val="18"/>
                <w:lang w:bidi="ar"/>
              </w:rPr>
              <w:t>平直段长度</w:t>
            </w:r>
            <w:r>
              <w:rPr>
                <w:rStyle w:val="151"/>
                <w:sz w:val="18"/>
                <w:szCs w:val="18"/>
                <w:lang w:bidi="ar"/>
              </w:rPr>
              <w:t>L</w:t>
            </w:r>
            <w:r>
              <w:rPr>
                <w:rStyle w:val="152"/>
                <w:rFonts w:hint="eastAsia"/>
                <w:sz w:val="18"/>
                <w:szCs w:val="18"/>
                <w:vertAlign w:val="baseline"/>
                <w:lang w:val="en-US" w:eastAsia="zh-CN" w:bidi="ar"/>
              </w:rPr>
              <w:t xml:space="preserve"> mm</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550</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w:t>
            </w:r>
          </w:p>
        </w:tc>
      </w:tr>
    </w:tbl>
    <w:p>
      <w:pPr>
        <w:pStyle w:val="46"/>
        <w:rPr>
          <w:rFonts w:hint="eastAsia" w:ascii="宋体" w:hAnsi="宋体" w:eastAsia="宋体"/>
          <w:szCs w:val="21"/>
        </w:rPr>
      </w:pPr>
      <w:bookmarkStart w:id="43" w:name="_Toc436915447"/>
      <w:bookmarkStart w:id="44" w:name="_Toc61356308"/>
      <w:bookmarkStart w:id="45" w:name="_Toc324155138"/>
      <w:bookmarkStart w:id="46" w:name="_Toc335320404"/>
      <w:r>
        <w:rPr>
          <w:rFonts w:hint="eastAsia"/>
        </w:rPr>
        <w:t>技术要求</w:t>
      </w:r>
      <w:bookmarkEnd w:id="43"/>
      <w:bookmarkEnd w:id="44"/>
      <w:bookmarkEnd w:id="45"/>
      <w:bookmarkEnd w:id="46"/>
    </w:p>
    <w:p>
      <w:pPr>
        <w:pStyle w:val="43"/>
        <w:ind w:left="0"/>
        <w:jc w:val="both"/>
        <w:outlineLvl w:val="1"/>
        <w:rPr>
          <w:rFonts w:hint="eastAsia" w:hAnsi="宋体" w:cs="Arial"/>
        </w:rPr>
      </w:pPr>
      <w:bookmarkStart w:id="47" w:name="_Toc432595450"/>
      <w:bookmarkStart w:id="48" w:name="_Toc436915448"/>
      <w:bookmarkStart w:id="49" w:name="_Toc335320405"/>
      <w:bookmarkStart w:id="50" w:name="_Toc61356309"/>
      <w:r>
        <w:rPr>
          <w:rFonts w:hint="eastAsia" w:hAnsi="宋体" w:cs="Arial"/>
        </w:rPr>
        <w:t>通用要求</w:t>
      </w:r>
      <w:bookmarkEnd w:id="47"/>
      <w:bookmarkEnd w:id="48"/>
      <w:bookmarkEnd w:id="49"/>
      <w:bookmarkEnd w:id="50"/>
    </w:p>
    <w:p>
      <w:pPr>
        <w:pStyle w:val="23"/>
        <w:ind w:firstLine="0" w:firstLineChars="0"/>
        <w:rPr>
          <w:rFonts w:hAnsi="宋体" w:cs="宋体"/>
          <w:szCs w:val="21"/>
        </w:rPr>
      </w:pPr>
      <w:bookmarkStart w:id="51" w:name="_Toc15002"/>
      <w:bookmarkStart w:id="52" w:name="_Toc321808238"/>
      <w:bookmarkStart w:id="53" w:name="_Toc329943210"/>
      <w:bookmarkStart w:id="54" w:name="_Toc322932376"/>
      <w:bookmarkStart w:id="55" w:name="_Toc61356311"/>
      <w:bookmarkStart w:id="56" w:name="_Toc61356078"/>
      <w:bookmarkStart w:id="57" w:name="_Toc322932385"/>
      <w:bookmarkStart w:id="58" w:name="_Toc321808247"/>
      <w:bookmarkStart w:id="59" w:name="_Toc436915458"/>
      <w:r>
        <w:rPr>
          <w:rFonts w:hint="eastAsia" w:ascii="黑体" w:hAnsi="黑体" w:eastAsia="黑体" w:cs="黑体"/>
          <w:szCs w:val="21"/>
        </w:rPr>
        <w:t>6.1.1</w:t>
      </w:r>
      <w:r>
        <w:rPr>
          <w:rFonts w:hint="eastAsia" w:hAnsi="宋体" w:cs="宋体"/>
          <w:szCs w:val="21"/>
        </w:rPr>
        <w:t xml:space="preserve">  除非本文件另有规定，</w:t>
      </w:r>
      <w:bookmarkStart w:id="60" w:name="_Hlk58927950"/>
      <w:r>
        <w:rPr>
          <w:rFonts w:hint="eastAsia"/>
        </w:rPr>
        <w:t>输送辊道</w:t>
      </w:r>
      <w:r>
        <w:rPr>
          <w:rFonts w:hint="eastAsia" w:hAnsi="宋体" w:cs="宋体"/>
          <w:szCs w:val="21"/>
        </w:rPr>
        <w:t>的设计和制造所执行的通用技术要求应符合以下规定：</w:t>
      </w:r>
      <w:bookmarkEnd w:id="51"/>
    </w:p>
    <w:p>
      <w:pPr>
        <w:pStyle w:val="23"/>
        <w:rPr>
          <w:rFonts w:hAnsi="宋体" w:cs="宋体"/>
          <w:szCs w:val="21"/>
        </w:rPr>
      </w:pPr>
      <w:r>
        <w:rPr>
          <w:rFonts w:hint="eastAsia" w:hAnsi="宋体" w:cs="宋体"/>
          <w:szCs w:val="21"/>
        </w:rPr>
        <w:t>——产品检验应符合</w:t>
      </w:r>
      <w:r>
        <w:rPr>
          <w:rFonts w:hAnsi="宋体" w:cs="宋体"/>
          <w:szCs w:val="21"/>
        </w:rPr>
        <w:t>GB/T 37400.1</w:t>
      </w:r>
      <w:r>
        <w:rPr>
          <w:rFonts w:hint="eastAsia" w:hAnsi="宋体" w:cs="宋体"/>
          <w:szCs w:val="21"/>
        </w:rPr>
        <w:t>规定的要求</w:t>
      </w:r>
      <w:r>
        <w:rPr>
          <w:rFonts w:hAnsi="宋体" w:cs="宋体"/>
          <w:szCs w:val="21"/>
        </w:rPr>
        <w:t>；</w:t>
      </w:r>
    </w:p>
    <w:p>
      <w:pPr>
        <w:pStyle w:val="23"/>
        <w:rPr>
          <w:rFonts w:hAnsi="宋体" w:cs="宋体"/>
          <w:szCs w:val="21"/>
        </w:rPr>
      </w:pPr>
      <w:r>
        <w:rPr>
          <w:rFonts w:hint="eastAsia" w:hAnsi="宋体" w:cs="宋体"/>
          <w:szCs w:val="21"/>
        </w:rPr>
        <w:t>——火焰切割件应符合</w:t>
      </w:r>
      <w:r>
        <w:rPr>
          <w:rFonts w:hAnsi="宋体" w:cs="宋体"/>
          <w:szCs w:val="21"/>
        </w:rPr>
        <w:t>GB/T 37400.2</w:t>
      </w:r>
      <w:r>
        <w:rPr>
          <w:rFonts w:hint="eastAsia" w:hAnsi="宋体" w:cs="宋体"/>
          <w:szCs w:val="21"/>
        </w:rPr>
        <w:t>规定的要求</w:t>
      </w:r>
      <w:r>
        <w:rPr>
          <w:rFonts w:hAnsi="宋体" w:cs="宋体"/>
          <w:szCs w:val="21"/>
        </w:rPr>
        <w:t>；</w:t>
      </w:r>
    </w:p>
    <w:p>
      <w:pPr>
        <w:pStyle w:val="23"/>
        <w:rPr>
          <w:rFonts w:hAnsi="宋体" w:cs="宋体"/>
          <w:szCs w:val="21"/>
        </w:rPr>
      </w:pPr>
      <w:bookmarkStart w:id="61" w:name="_Toc31580"/>
      <w:r>
        <w:rPr>
          <w:rFonts w:hint="eastAsia" w:hAnsi="宋体" w:cs="宋体"/>
          <w:szCs w:val="21"/>
        </w:rPr>
        <w:t>——</w:t>
      </w:r>
      <w:r>
        <w:rPr>
          <w:rFonts w:hAnsi="宋体" w:cs="宋体"/>
          <w:szCs w:val="21"/>
        </w:rPr>
        <w:t>焊接件</w:t>
      </w:r>
      <w:r>
        <w:rPr>
          <w:rFonts w:hint="eastAsia" w:hAnsi="宋体" w:cs="宋体"/>
          <w:szCs w:val="21"/>
        </w:rPr>
        <w:t>应符合</w:t>
      </w:r>
      <w:r>
        <w:rPr>
          <w:rFonts w:hAnsi="宋体" w:cs="宋体"/>
          <w:szCs w:val="21"/>
        </w:rPr>
        <w:t>GB/T 37400.3</w:t>
      </w:r>
      <w:r>
        <w:rPr>
          <w:rFonts w:hint="eastAsia" w:hAnsi="宋体" w:cs="宋体"/>
          <w:szCs w:val="21"/>
        </w:rPr>
        <w:t>规定的要求</w:t>
      </w:r>
      <w:r>
        <w:rPr>
          <w:rFonts w:hAnsi="宋体" w:cs="宋体"/>
          <w:szCs w:val="21"/>
        </w:rPr>
        <w:t>；</w:t>
      </w:r>
      <w:bookmarkEnd w:id="61"/>
    </w:p>
    <w:p>
      <w:pPr>
        <w:pStyle w:val="23"/>
        <w:rPr>
          <w:rFonts w:hAnsi="宋体" w:cs="宋体"/>
          <w:szCs w:val="21"/>
        </w:rPr>
      </w:pPr>
      <w:bookmarkStart w:id="62" w:name="_Toc6979"/>
      <w:r>
        <w:rPr>
          <w:rFonts w:hint="eastAsia" w:hAnsi="宋体" w:cs="宋体"/>
          <w:szCs w:val="21"/>
        </w:rPr>
        <w:t>——</w:t>
      </w:r>
      <w:r>
        <w:rPr>
          <w:rFonts w:hAnsi="宋体" w:cs="宋体"/>
          <w:szCs w:val="21"/>
        </w:rPr>
        <w:t>锻件</w:t>
      </w:r>
      <w:r>
        <w:rPr>
          <w:rFonts w:hint="eastAsia" w:hAnsi="宋体" w:cs="宋体"/>
          <w:szCs w:val="21"/>
        </w:rPr>
        <w:t>应符合</w:t>
      </w:r>
      <w:r>
        <w:rPr>
          <w:rFonts w:hAnsi="宋体" w:cs="宋体"/>
          <w:szCs w:val="21"/>
        </w:rPr>
        <w:t>GB/T 37400.8</w:t>
      </w:r>
      <w:r>
        <w:rPr>
          <w:rFonts w:hint="eastAsia" w:hAnsi="宋体" w:cs="宋体"/>
          <w:szCs w:val="21"/>
        </w:rPr>
        <w:t>规定的要求</w:t>
      </w:r>
      <w:r>
        <w:rPr>
          <w:rFonts w:hAnsi="宋体" w:cs="宋体"/>
          <w:szCs w:val="21"/>
        </w:rPr>
        <w:t>；</w:t>
      </w:r>
      <w:bookmarkEnd w:id="62"/>
    </w:p>
    <w:p>
      <w:pPr>
        <w:pStyle w:val="23"/>
        <w:rPr>
          <w:rFonts w:hAnsi="宋体" w:cs="宋体"/>
          <w:szCs w:val="21"/>
        </w:rPr>
      </w:pPr>
      <w:bookmarkStart w:id="63" w:name="_Toc12262"/>
      <w:r>
        <w:rPr>
          <w:rFonts w:hint="eastAsia" w:hAnsi="宋体" w:cs="宋体"/>
          <w:szCs w:val="21"/>
        </w:rPr>
        <w:t>——</w:t>
      </w:r>
      <w:r>
        <w:rPr>
          <w:rFonts w:hAnsi="宋体" w:cs="宋体"/>
          <w:szCs w:val="21"/>
        </w:rPr>
        <w:t>切削加工件</w:t>
      </w:r>
      <w:r>
        <w:rPr>
          <w:rFonts w:hint="eastAsia" w:hAnsi="宋体" w:cs="宋体"/>
          <w:szCs w:val="21"/>
        </w:rPr>
        <w:t>应符合</w:t>
      </w:r>
      <w:r>
        <w:rPr>
          <w:rFonts w:hAnsi="宋体" w:cs="宋体"/>
          <w:szCs w:val="21"/>
        </w:rPr>
        <w:t>GB/T 37400.9</w:t>
      </w:r>
      <w:r>
        <w:rPr>
          <w:rFonts w:hint="eastAsia" w:hAnsi="宋体" w:cs="宋体"/>
          <w:szCs w:val="21"/>
        </w:rPr>
        <w:t>规定的要求</w:t>
      </w:r>
      <w:r>
        <w:rPr>
          <w:rFonts w:hAnsi="宋体" w:cs="宋体"/>
          <w:szCs w:val="21"/>
        </w:rPr>
        <w:t>；</w:t>
      </w:r>
      <w:bookmarkEnd w:id="63"/>
    </w:p>
    <w:p>
      <w:pPr>
        <w:pStyle w:val="23"/>
        <w:rPr>
          <w:rFonts w:hAnsi="宋体" w:cs="宋体"/>
          <w:szCs w:val="21"/>
        </w:rPr>
      </w:pPr>
      <w:bookmarkStart w:id="64" w:name="_Toc16901"/>
      <w:r>
        <w:rPr>
          <w:rFonts w:hint="eastAsia" w:hAnsi="宋体" w:cs="宋体"/>
          <w:szCs w:val="21"/>
        </w:rPr>
        <w:t>——</w:t>
      </w:r>
      <w:r>
        <w:rPr>
          <w:rFonts w:hAnsi="宋体" w:cs="宋体"/>
          <w:szCs w:val="21"/>
        </w:rPr>
        <w:t>装配</w:t>
      </w:r>
      <w:r>
        <w:rPr>
          <w:rFonts w:hint="eastAsia" w:hAnsi="宋体" w:cs="宋体"/>
          <w:szCs w:val="21"/>
        </w:rPr>
        <w:t>应符合</w:t>
      </w:r>
      <w:r>
        <w:rPr>
          <w:rFonts w:hAnsi="宋体" w:cs="宋体"/>
          <w:szCs w:val="21"/>
        </w:rPr>
        <w:t>GB/T 37400.10</w:t>
      </w:r>
      <w:r>
        <w:rPr>
          <w:rFonts w:hint="eastAsia" w:hAnsi="宋体" w:cs="宋体"/>
          <w:szCs w:val="21"/>
        </w:rPr>
        <w:t>规定的要求</w:t>
      </w:r>
      <w:r>
        <w:rPr>
          <w:rFonts w:hAnsi="宋体" w:cs="宋体"/>
          <w:szCs w:val="21"/>
        </w:rPr>
        <w:t>；</w:t>
      </w:r>
      <w:bookmarkEnd w:id="64"/>
    </w:p>
    <w:p>
      <w:pPr>
        <w:pStyle w:val="23"/>
        <w:rPr>
          <w:rFonts w:hAnsi="宋体" w:cs="宋体"/>
          <w:szCs w:val="21"/>
        </w:rPr>
      </w:pPr>
      <w:bookmarkStart w:id="65" w:name="_Toc9918"/>
      <w:r>
        <w:rPr>
          <w:rFonts w:hint="eastAsia" w:hAnsi="宋体" w:cs="宋体"/>
          <w:szCs w:val="21"/>
        </w:rPr>
        <w:t>——</w:t>
      </w:r>
      <w:r>
        <w:rPr>
          <w:rFonts w:hAnsi="宋体" w:cs="宋体"/>
          <w:szCs w:val="21"/>
        </w:rPr>
        <w:t>配管</w:t>
      </w:r>
      <w:r>
        <w:rPr>
          <w:rFonts w:hint="eastAsia" w:hAnsi="宋体" w:cs="宋体"/>
          <w:szCs w:val="21"/>
        </w:rPr>
        <w:t>应符合</w:t>
      </w:r>
      <w:r>
        <w:rPr>
          <w:rFonts w:hAnsi="宋体" w:cs="宋体"/>
          <w:szCs w:val="21"/>
        </w:rPr>
        <w:t>GB/T 37400.11</w:t>
      </w:r>
      <w:r>
        <w:rPr>
          <w:rFonts w:hint="eastAsia" w:hAnsi="宋体" w:cs="宋体"/>
          <w:szCs w:val="21"/>
        </w:rPr>
        <w:t>规定的要求</w:t>
      </w:r>
      <w:r>
        <w:rPr>
          <w:rFonts w:hAnsi="宋体" w:cs="宋体"/>
          <w:szCs w:val="21"/>
        </w:rPr>
        <w:t>；</w:t>
      </w:r>
      <w:bookmarkEnd w:id="65"/>
    </w:p>
    <w:p>
      <w:pPr>
        <w:pStyle w:val="23"/>
        <w:ind w:left="840" w:leftChars="200" w:hanging="420" w:hangingChars="200"/>
        <w:rPr>
          <w:rFonts w:hAnsi="宋体" w:cs="宋体"/>
          <w:szCs w:val="21"/>
        </w:rPr>
      </w:pPr>
      <w:bookmarkStart w:id="66" w:name="_Toc17861"/>
      <w:r>
        <w:rPr>
          <w:rFonts w:hint="eastAsia" w:hAnsi="宋体" w:cs="宋体"/>
          <w:szCs w:val="21"/>
        </w:rPr>
        <w:t>——涂装应符合</w:t>
      </w:r>
      <w:r>
        <w:rPr>
          <w:rFonts w:hAnsi="宋体" w:cs="宋体"/>
          <w:szCs w:val="21"/>
        </w:rPr>
        <w:t>GB/T 37400</w:t>
      </w:r>
      <w:r>
        <w:rPr>
          <w:rFonts w:hint="eastAsia" w:hAnsi="宋体" w:cs="宋体"/>
          <w:szCs w:val="21"/>
        </w:rPr>
        <w:t>.12规定的要求，颜色应与轧线设备统一</w:t>
      </w:r>
      <w:r>
        <w:rPr>
          <w:rFonts w:hint="eastAsia" w:hAnsi="宋体"/>
        </w:rPr>
        <w:t>，与轧件和乳化液相接触的面不涂装</w:t>
      </w:r>
      <w:r>
        <w:rPr>
          <w:rFonts w:hint="eastAsia" w:hAnsi="宋体" w:cs="宋体"/>
          <w:szCs w:val="21"/>
        </w:rPr>
        <w:t>；</w:t>
      </w:r>
      <w:bookmarkEnd w:id="66"/>
    </w:p>
    <w:p>
      <w:pPr>
        <w:pStyle w:val="23"/>
        <w:rPr>
          <w:rFonts w:hAnsi="宋体" w:cs="宋体"/>
          <w:szCs w:val="21"/>
        </w:rPr>
      </w:pPr>
      <w:r>
        <w:rPr>
          <w:rFonts w:hint="eastAsia" w:hAnsi="宋体" w:cs="宋体"/>
          <w:szCs w:val="21"/>
        </w:rPr>
        <w:t>——包装应符合</w:t>
      </w:r>
      <w:r>
        <w:rPr>
          <w:rFonts w:hAnsi="宋体" w:cs="宋体"/>
          <w:szCs w:val="21"/>
        </w:rPr>
        <w:t>GB/T 37400</w:t>
      </w:r>
      <w:r>
        <w:rPr>
          <w:rFonts w:hint="eastAsia" w:hAnsi="宋体" w:cs="宋体"/>
          <w:szCs w:val="21"/>
        </w:rPr>
        <w:t>.1</w:t>
      </w:r>
      <w:r>
        <w:rPr>
          <w:rFonts w:hAnsi="宋体" w:cs="宋体"/>
          <w:szCs w:val="21"/>
        </w:rPr>
        <w:t>3</w:t>
      </w:r>
      <w:r>
        <w:rPr>
          <w:rFonts w:hint="eastAsia" w:hAnsi="宋体" w:cs="宋体"/>
          <w:szCs w:val="21"/>
        </w:rPr>
        <w:t>规定的要求；</w:t>
      </w:r>
    </w:p>
    <w:p>
      <w:pPr>
        <w:pStyle w:val="23"/>
        <w:rPr>
          <w:rFonts w:hAnsi="宋体" w:cs="宋体"/>
          <w:szCs w:val="21"/>
        </w:rPr>
      </w:pPr>
      <w:bookmarkStart w:id="67" w:name="_Toc8274"/>
      <w:r>
        <w:rPr>
          <w:rFonts w:hint="eastAsia" w:hAnsi="宋体" w:cs="宋体"/>
          <w:szCs w:val="21"/>
        </w:rPr>
        <w:t>——</w:t>
      </w:r>
      <w:r>
        <w:rPr>
          <w:rFonts w:hAnsi="宋体" w:cs="宋体"/>
          <w:szCs w:val="21"/>
        </w:rPr>
        <w:t>锻钢件无损</w:t>
      </w:r>
      <w:r>
        <w:rPr>
          <w:rFonts w:hint="eastAsia" w:hAnsi="宋体" w:cs="宋体"/>
          <w:szCs w:val="21"/>
        </w:rPr>
        <w:t>探伤应符合</w:t>
      </w:r>
      <w:r>
        <w:rPr>
          <w:rFonts w:hAnsi="宋体" w:cs="宋体"/>
          <w:szCs w:val="21"/>
        </w:rPr>
        <w:t>GB/T 37400.15</w:t>
      </w:r>
      <w:bookmarkEnd w:id="52"/>
      <w:bookmarkEnd w:id="53"/>
      <w:bookmarkEnd w:id="54"/>
      <w:r>
        <w:rPr>
          <w:rFonts w:hint="eastAsia" w:hAnsi="宋体" w:cs="宋体"/>
          <w:szCs w:val="21"/>
        </w:rPr>
        <w:t>规定的要求；</w:t>
      </w:r>
      <w:bookmarkEnd w:id="67"/>
    </w:p>
    <w:bookmarkEnd w:id="55"/>
    <w:bookmarkEnd w:id="56"/>
    <w:bookmarkEnd w:id="60"/>
    <w:p>
      <w:pPr>
        <w:pStyle w:val="47"/>
        <w:numPr>
          <w:ilvl w:val="0"/>
          <w:numId w:val="0"/>
        </w:numPr>
        <w:spacing w:before="0" w:beforeLines="0" w:after="0" w:afterLines="0"/>
        <w:rPr>
          <w:rFonts w:ascii="宋体" w:hAnsi="宋体" w:eastAsia="宋体"/>
        </w:rPr>
      </w:pPr>
      <w:bookmarkStart w:id="68" w:name="_Toc329943211"/>
      <w:bookmarkStart w:id="69" w:name="_Toc61356319"/>
      <w:bookmarkStart w:id="70" w:name="_Toc61356086"/>
      <w:r>
        <w:rPr>
          <w:rFonts w:hint="eastAsia" w:hAnsi="黑体"/>
        </w:rPr>
        <w:t>6.1.</w:t>
      </w:r>
      <w:r>
        <w:rPr>
          <w:rFonts w:hAnsi="黑体"/>
        </w:rPr>
        <w:t>2</w:t>
      </w:r>
      <w:r>
        <w:rPr>
          <w:rFonts w:hint="eastAsia" w:ascii="宋体" w:hAnsi="宋体" w:eastAsia="宋体"/>
        </w:rPr>
        <w:t xml:space="preserve">  </w:t>
      </w:r>
      <w:bookmarkEnd w:id="68"/>
      <w:r>
        <w:rPr>
          <w:rFonts w:hint="eastAsia" w:ascii="宋体" w:hAnsi="宋体" w:eastAsia="宋体"/>
        </w:rPr>
        <w:t>输送辊道</w:t>
      </w:r>
      <w:r>
        <w:rPr>
          <w:rFonts w:ascii="宋体" w:hAnsi="宋体" w:eastAsia="宋体"/>
        </w:rPr>
        <w:t>中</w:t>
      </w:r>
      <w:r>
        <w:rPr>
          <w:rFonts w:hint="eastAsia" w:ascii="宋体" w:hAnsi="宋体" w:eastAsia="宋体"/>
        </w:rPr>
        <w:t>的结构钢材料应符合以下规定：</w:t>
      </w:r>
      <w:bookmarkEnd w:id="69"/>
      <w:bookmarkEnd w:id="70"/>
    </w:p>
    <w:p>
      <w:pPr>
        <w:pStyle w:val="47"/>
        <w:numPr>
          <w:ilvl w:val="0"/>
          <w:numId w:val="0"/>
        </w:numPr>
        <w:spacing w:before="0" w:beforeLines="0" w:after="0" w:afterLines="0"/>
        <w:ind w:firstLine="420" w:firstLineChars="200"/>
        <w:rPr>
          <w:rFonts w:hint="eastAsia" w:ascii="宋体" w:hAnsi="宋体" w:eastAsia="宋体"/>
        </w:rPr>
      </w:pPr>
      <w:bookmarkStart w:id="71" w:name="_Toc61356320"/>
      <w:bookmarkStart w:id="72" w:name="_Toc61356087"/>
      <w:r>
        <w:rPr>
          <w:rFonts w:hint="eastAsia" w:ascii="宋体" w:hAnsi="宋体" w:eastAsia="宋体"/>
        </w:rPr>
        <w:t>——优质</w:t>
      </w:r>
      <w:r>
        <w:rPr>
          <w:rFonts w:ascii="宋体" w:hAnsi="宋体" w:eastAsia="宋体"/>
        </w:rPr>
        <w:t>碳素结构钢材料的性能不应低于GB/T</w:t>
      </w:r>
      <w:r>
        <w:rPr>
          <w:rFonts w:hint="eastAsia" w:ascii="宋体" w:hAnsi="宋体" w:eastAsia="宋体"/>
        </w:rPr>
        <w:t xml:space="preserve"> 699</w:t>
      </w:r>
      <w:r>
        <w:rPr>
          <w:rFonts w:ascii="宋体" w:hAnsi="宋体" w:eastAsia="宋体"/>
        </w:rPr>
        <w:t>的要求</w:t>
      </w:r>
      <w:r>
        <w:rPr>
          <w:rFonts w:hint="eastAsia" w:ascii="宋体" w:hAnsi="宋体" w:eastAsia="宋体"/>
        </w:rPr>
        <w:t>；</w:t>
      </w:r>
      <w:bookmarkEnd w:id="71"/>
      <w:bookmarkEnd w:id="72"/>
    </w:p>
    <w:p>
      <w:pPr>
        <w:pStyle w:val="47"/>
        <w:numPr>
          <w:ilvl w:val="0"/>
          <w:numId w:val="0"/>
        </w:numPr>
        <w:spacing w:before="0" w:beforeLines="0" w:after="0" w:afterLines="0"/>
        <w:ind w:firstLine="420" w:firstLineChars="200"/>
        <w:rPr>
          <w:rFonts w:hint="eastAsia" w:ascii="宋体" w:hAnsi="宋体" w:eastAsia="宋体"/>
        </w:rPr>
      </w:pPr>
      <w:bookmarkStart w:id="73" w:name="_Toc61356088"/>
      <w:bookmarkStart w:id="74" w:name="_Toc61356321"/>
      <w:r>
        <w:rPr>
          <w:rFonts w:hint="eastAsia" w:ascii="宋体" w:hAnsi="宋体" w:eastAsia="宋体"/>
        </w:rPr>
        <w:t>——</w:t>
      </w:r>
      <w:r>
        <w:rPr>
          <w:rFonts w:ascii="宋体" w:hAnsi="宋体" w:eastAsia="宋体"/>
        </w:rPr>
        <w:t>碳素结构钢材料的性能不应低于GB/T</w:t>
      </w:r>
      <w:r>
        <w:rPr>
          <w:rFonts w:hint="eastAsia" w:ascii="宋体" w:hAnsi="宋体" w:eastAsia="宋体"/>
        </w:rPr>
        <w:t xml:space="preserve"> </w:t>
      </w:r>
      <w:r>
        <w:rPr>
          <w:rFonts w:ascii="宋体" w:hAnsi="宋体" w:eastAsia="宋体"/>
        </w:rPr>
        <w:t>700的要求</w:t>
      </w:r>
      <w:r>
        <w:rPr>
          <w:rFonts w:hint="eastAsia" w:ascii="宋体" w:hAnsi="宋体" w:eastAsia="宋体"/>
        </w:rPr>
        <w:t>；</w:t>
      </w:r>
      <w:bookmarkEnd w:id="73"/>
      <w:bookmarkEnd w:id="74"/>
    </w:p>
    <w:p>
      <w:pPr>
        <w:pStyle w:val="47"/>
        <w:numPr>
          <w:ilvl w:val="0"/>
          <w:numId w:val="0"/>
        </w:numPr>
        <w:spacing w:before="0" w:beforeLines="0" w:after="0" w:afterLines="0"/>
        <w:ind w:firstLine="420" w:firstLineChars="200"/>
        <w:rPr>
          <w:rFonts w:hint="eastAsia" w:ascii="宋体" w:hAnsi="宋体" w:eastAsia="宋体"/>
        </w:rPr>
      </w:pPr>
      <w:bookmarkStart w:id="75" w:name="_Toc61356322"/>
      <w:bookmarkStart w:id="76" w:name="_Toc61356089"/>
      <w:r>
        <w:rPr>
          <w:rFonts w:hint="eastAsia" w:ascii="宋体" w:hAnsi="宋体" w:eastAsia="宋体"/>
        </w:rPr>
        <w:t>——低合金高强度</w:t>
      </w:r>
      <w:r>
        <w:rPr>
          <w:rFonts w:ascii="宋体" w:hAnsi="宋体" w:eastAsia="宋体"/>
        </w:rPr>
        <w:t>结构钢材料的性能不应低于GB/T</w:t>
      </w:r>
      <w:r>
        <w:rPr>
          <w:rFonts w:hint="eastAsia" w:ascii="宋体" w:hAnsi="宋体" w:eastAsia="宋体"/>
        </w:rPr>
        <w:t xml:space="preserve"> 1591</w:t>
      </w:r>
      <w:r>
        <w:rPr>
          <w:rFonts w:ascii="宋体" w:hAnsi="宋体" w:eastAsia="宋体"/>
        </w:rPr>
        <w:t>的要求</w:t>
      </w:r>
      <w:r>
        <w:rPr>
          <w:rFonts w:hint="eastAsia" w:ascii="宋体" w:hAnsi="宋体" w:eastAsia="宋体"/>
        </w:rPr>
        <w:t>；</w:t>
      </w:r>
      <w:bookmarkEnd w:id="75"/>
      <w:bookmarkEnd w:id="76"/>
    </w:p>
    <w:p>
      <w:pPr>
        <w:pStyle w:val="47"/>
        <w:numPr>
          <w:ilvl w:val="0"/>
          <w:numId w:val="0"/>
        </w:numPr>
        <w:spacing w:before="0" w:beforeLines="0" w:after="0" w:afterLines="0"/>
        <w:ind w:firstLine="420" w:firstLineChars="200"/>
        <w:rPr>
          <w:rFonts w:hint="eastAsia" w:ascii="宋体" w:hAnsi="宋体" w:eastAsia="宋体"/>
        </w:rPr>
      </w:pPr>
      <w:bookmarkStart w:id="77" w:name="_Toc61356090"/>
      <w:bookmarkStart w:id="78" w:name="_Toc61356323"/>
      <w:r>
        <w:rPr>
          <w:rFonts w:hint="eastAsia" w:ascii="宋体" w:hAnsi="宋体" w:eastAsia="宋体"/>
        </w:rPr>
        <w:t>——</w:t>
      </w:r>
      <w:r>
        <w:rPr>
          <w:rFonts w:ascii="宋体" w:hAnsi="宋体" w:eastAsia="宋体"/>
        </w:rPr>
        <w:t>合金结构钢材料的性能不应低于GB/T</w:t>
      </w:r>
      <w:r>
        <w:rPr>
          <w:rFonts w:hint="eastAsia" w:ascii="宋体" w:hAnsi="宋体" w:eastAsia="宋体"/>
        </w:rPr>
        <w:t xml:space="preserve"> </w:t>
      </w:r>
      <w:r>
        <w:rPr>
          <w:rFonts w:ascii="宋体" w:hAnsi="宋体" w:eastAsia="宋体"/>
        </w:rPr>
        <w:t>3077的要求</w:t>
      </w:r>
      <w:r>
        <w:rPr>
          <w:rFonts w:hint="eastAsia" w:ascii="宋体" w:hAnsi="宋体" w:eastAsia="宋体"/>
        </w:rPr>
        <w:t>。</w:t>
      </w:r>
      <w:bookmarkEnd w:id="77"/>
      <w:bookmarkEnd w:id="78"/>
    </w:p>
    <w:p>
      <w:pPr>
        <w:pStyle w:val="23"/>
        <w:ind w:firstLine="0" w:firstLineChars="0"/>
        <w:rPr>
          <w:rFonts w:hAnsi="宋体"/>
        </w:rPr>
      </w:pPr>
      <w:r>
        <w:rPr>
          <w:rFonts w:hint="eastAsia" w:ascii="黑体" w:hAnsi="黑体" w:eastAsia="黑体" w:cs="黑体"/>
        </w:rPr>
        <w:t>6.1.3</w:t>
      </w:r>
      <w:r>
        <w:rPr>
          <w:rFonts w:hint="eastAsia" w:hAnsi="宋体"/>
        </w:rPr>
        <w:t xml:space="preserve">  焊接件</w:t>
      </w:r>
      <w:r>
        <w:rPr>
          <w:rFonts w:hint="eastAsia"/>
        </w:rPr>
        <w:t>钢焊缝超声波无损检测等级应符合</w:t>
      </w:r>
      <w:r>
        <w:rPr>
          <w:rFonts w:hint="eastAsia" w:hAnsi="宋体"/>
        </w:rPr>
        <w:t>GB/T 11345的规定，验收等级应符合GB/T 29712的规定。</w:t>
      </w:r>
    </w:p>
    <w:bookmarkEnd w:id="57"/>
    <w:bookmarkEnd w:id="58"/>
    <w:bookmarkEnd w:id="59"/>
    <w:p>
      <w:pPr>
        <w:pStyle w:val="43"/>
        <w:ind w:left="0"/>
        <w:jc w:val="both"/>
        <w:outlineLvl w:val="1"/>
        <w:rPr>
          <w:rFonts w:hint="eastAsia" w:hAnsi="宋体" w:cs="Arial"/>
        </w:rPr>
      </w:pPr>
      <w:bookmarkStart w:id="79" w:name="_Toc436915459"/>
      <w:bookmarkStart w:id="80" w:name="_Toc432595467"/>
      <w:bookmarkStart w:id="81" w:name="_Toc335320436"/>
      <w:bookmarkStart w:id="82" w:name="_Toc61356324"/>
      <w:r>
        <w:rPr>
          <w:rFonts w:hint="eastAsia" w:hAnsi="宋体" w:cs="Arial"/>
        </w:rPr>
        <w:t>主要零件技术要求</w:t>
      </w:r>
      <w:bookmarkEnd w:id="79"/>
      <w:bookmarkEnd w:id="80"/>
      <w:bookmarkEnd w:id="81"/>
      <w:bookmarkEnd w:id="82"/>
    </w:p>
    <w:p>
      <w:pPr>
        <w:pStyle w:val="23"/>
        <w:ind w:firstLine="0" w:firstLineChars="0"/>
        <w:rPr>
          <w:rFonts w:hint="eastAsia" w:hAnsi="宋体"/>
        </w:rPr>
      </w:pPr>
      <w:r>
        <w:rPr>
          <w:rFonts w:hint="eastAsia" w:ascii="黑体" w:hAnsi="宋体" w:eastAsia="黑体"/>
        </w:rPr>
        <w:t xml:space="preserve">6.2.1 </w:t>
      </w:r>
      <w:r>
        <w:rPr>
          <w:rFonts w:ascii="黑体" w:hAnsi="宋体" w:eastAsia="黑体"/>
        </w:rPr>
        <w:t xml:space="preserve"> </w:t>
      </w:r>
      <w:r>
        <w:rPr>
          <w:rFonts w:hint="eastAsia" w:hAnsi="宋体" w:cs="Arial"/>
        </w:rPr>
        <w:t>辊子加工技术要求应分别符合表2和表3的规定。</w:t>
      </w:r>
    </w:p>
    <w:p>
      <w:pPr>
        <w:autoSpaceDE w:val="0"/>
        <w:autoSpaceDN w:val="0"/>
        <w:adjustRightInd w:val="0"/>
        <w:snapToGrid w:val="0"/>
        <w:spacing w:before="156" w:beforeLines="50" w:after="156" w:afterLines="50"/>
        <w:jc w:val="center"/>
        <w:rPr>
          <w:rFonts w:hint="eastAsia" w:ascii="黑体" w:hAnsi="黑体" w:eastAsia="黑体"/>
        </w:rPr>
      </w:pPr>
      <w:bookmarkStart w:id="83" w:name="_Toc329943238"/>
      <w:bookmarkStart w:id="84" w:name="_Toc335320437"/>
      <w:r>
        <w:rPr>
          <w:rFonts w:hint="eastAsia" w:ascii="黑体" w:hAnsi="黑体" w:eastAsia="黑体"/>
        </w:rPr>
        <w:t xml:space="preserve">表2  </w:t>
      </w:r>
      <w:r>
        <w:rPr>
          <w:rFonts w:hint="eastAsia" w:ascii="黑体" w:hAnsi="黑体" w:eastAsia="黑体" w:cs="黑体"/>
        </w:rPr>
        <w:t>实心双锥辊子</w:t>
      </w:r>
      <w:r>
        <w:rPr>
          <w:rFonts w:hint="eastAsia" w:ascii="黑体" w:hAnsi="黑体" w:eastAsia="黑体"/>
        </w:rPr>
        <w:t xml:space="preserve"> </w:t>
      </w:r>
    </w:p>
    <w:tbl>
      <w:tblPr>
        <w:tblStyle w:val="3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963"/>
        <w:gridCol w:w="5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项目</w:t>
            </w:r>
          </w:p>
        </w:tc>
        <w:tc>
          <w:tcPr>
            <w:tcW w:w="2861"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noWrap w:val="0"/>
            <w:vAlign w:val="center"/>
          </w:tcPr>
          <w:p>
            <w:pPr>
              <w:autoSpaceDE w:val="0"/>
              <w:autoSpaceDN w:val="0"/>
              <w:adjustRightInd w:val="0"/>
              <w:jc w:val="center"/>
              <w:rPr>
                <w:rFonts w:hint="eastAsia" w:ascii="宋体" w:hAnsi="宋体"/>
                <w:sz w:val="18"/>
                <w:szCs w:val="18"/>
              </w:rPr>
            </w:pPr>
            <w:r>
              <w:pict>
                <v:shape id="_x0000_i1027" o:spt="75" type="#_x0000_t75" style="height:104.85pt;width:331.9pt;" filled="f" o:preferrelative="t" stroked="f" coordsize="21600,21600">
                  <v:path/>
                  <v:fill on="f" focussize="0,0"/>
                  <v:stroke on="f"/>
                  <v:imagedata r:id="rId18"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材质</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2" w:type="dxa"/>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547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2" w:type="dxa"/>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547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2" w:type="dxa"/>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547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2" w:type="dxa"/>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547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2138" w:type="pct"/>
            <w:gridSpan w:val="2"/>
            <w:noWrap w:val="0"/>
            <w:vAlign w:val="center"/>
          </w:tcPr>
          <w:p>
            <w:pPr>
              <w:autoSpaceDE w:val="0"/>
              <w:autoSpaceDN w:val="0"/>
              <w:adjustRightInd w:val="0"/>
              <w:jc w:val="left"/>
              <w:rPr>
                <w:rFonts w:hint="eastAsia" w:ascii="宋体" w:hAnsi="宋体" w:eastAsia="宋体"/>
                <w:sz w:val="18"/>
                <w:szCs w:val="18"/>
                <w:lang w:eastAsia="zh-CN"/>
              </w:rPr>
            </w:pPr>
            <w:r>
              <w:rPr>
                <w:rFonts w:hint="eastAsia" w:ascii="宋体" w:hAnsi="宋体"/>
                <w:sz w:val="18"/>
                <w:szCs w:val="18"/>
              </w:rPr>
              <w:t>热处理调质硬度</w:t>
            </w:r>
            <w:r>
              <w:rPr>
                <w:rFonts w:hint="eastAsia" w:ascii="宋体" w:hAnsi="宋体"/>
                <w:i/>
                <w:iCs/>
                <w:sz w:val="18"/>
                <w:szCs w:val="18"/>
              </w:rPr>
              <w:t>HB</w:t>
            </w:r>
            <w:r>
              <w:rPr>
                <w:rFonts w:hint="eastAsia" w:ascii="宋体" w:hAnsi="宋体"/>
                <w:i/>
                <w:iCs/>
                <w:sz w:val="18"/>
                <w:szCs w:val="18"/>
                <w:lang w:val="en-US" w:eastAsia="zh-CN"/>
              </w:rPr>
              <w:t>W</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241～286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2138" w:type="pct"/>
            <w:gridSpan w:val="2"/>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超声波无损检测</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质量等级不低于</w:t>
            </w:r>
            <w:r>
              <w:rPr>
                <w:rFonts w:ascii="宋体" w:hAnsi="宋体"/>
                <w:sz w:val="18"/>
                <w:szCs w:val="18"/>
              </w:rPr>
              <w:t>G</w:t>
            </w:r>
            <w:r>
              <w:rPr>
                <w:rFonts w:hint="eastAsia" w:ascii="宋体" w:hAnsi="宋体"/>
                <w:sz w:val="18"/>
                <w:szCs w:val="18"/>
              </w:rPr>
              <w:t>B/T</w:t>
            </w:r>
            <w:r>
              <w:rPr>
                <w:rFonts w:ascii="宋体" w:hAnsi="宋体"/>
                <w:sz w:val="18"/>
                <w:szCs w:val="18"/>
              </w:rPr>
              <w:t xml:space="preserve"> 374</w:t>
            </w:r>
            <w:r>
              <w:rPr>
                <w:rFonts w:hint="eastAsia" w:ascii="宋体" w:hAnsi="宋体"/>
                <w:sz w:val="18"/>
                <w:szCs w:val="18"/>
              </w:rPr>
              <w:t>00.15—</w:t>
            </w:r>
            <w:r>
              <w:rPr>
                <w:rFonts w:ascii="宋体" w:hAnsi="宋体"/>
                <w:sz w:val="18"/>
                <w:szCs w:val="18"/>
              </w:rPr>
              <w:t>2019</w:t>
            </w:r>
            <w:r>
              <w:rPr>
                <w:rFonts w:hint="eastAsia" w:ascii="宋体" w:hAnsi="宋体"/>
                <w:sz w:val="18"/>
                <w:szCs w:val="18"/>
              </w:rPr>
              <w:t xml:space="preserve"> 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restart"/>
            <w:noWrap w:val="0"/>
            <w:vAlign w:val="center"/>
          </w:tcPr>
          <w:p>
            <w:pPr>
              <w:autoSpaceDE w:val="0"/>
              <w:autoSpaceDN w:val="0"/>
              <w:adjustRightInd w:val="0"/>
              <w:jc w:val="center"/>
              <w:rPr>
                <w:rFonts w:hint="eastAsia" w:ascii="宋体" w:hAnsi="宋体"/>
                <w:sz w:val="18"/>
                <w:szCs w:val="18"/>
                <w:vertAlign w:val="subscript"/>
              </w:rPr>
            </w:pPr>
            <w:r>
              <w:rPr>
                <w:rFonts w:hint="eastAsia" w:ascii="宋体" w:hAnsi="宋体"/>
                <w:sz w:val="18"/>
                <w:szCs w:val="18"/>
              </w:rPr>
              <w:t>尺寸</w:t>
            </w:r>
            <w:r>
              <w:rPr>
                <w:rFonts w:hint="eastAsia" w:ascii="宋体" w:hAnsi="宋体"/>
                <w:i/>
                <w:iCs/>
                <w:sz w:val="18"/>
                <w:szCs w:val="18"/>
              </w:rPr>
              <w:t>d</w:t>
            </w:r>
            <w:r>
              <w:rPr>
                <w:rFonts w:hint="eastAsia" w:ascii="宋体" w:hAnsi="宋体"/>
                <w:sz w:val="18"/>
                <w:szCs w:val="18"/>
                <w:vertAlign w:val="subscript"/>
              </w:rPr>
              <w:t>1</w:t>
            </w:r>
          </w:p>
          <w:p>
            <w:pPr>
              <w:autoSpaceDE w:val="0"/>
              <w:autoSpaceDN w:val="0"/>
              <w:adjustRightInd w:val="0"/>
              <w:jc w:val="center"/>
              <w:rPr>
                <w:rFonts w:hint="eastAsia" w:ascii="宋体" w:hAnsi="宋体"/>
                <w:sz w:val="18"/>
                <w:szCs w:val="18"/>
              </w:rPr>
            </w:pPr>
            <w:r>
              <w:rPr>
                <w:rFonts w:hint="eastAsia" w:ascii="宋体" w:hAnsi="宋体"/>
                <w:sz w:val="18"/>
                <w:szCs w:val="18"/>
              </w:rPr>
              <w:t>传动轴面</w:t>
            </w: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1</w:t>
            </w:r>
            <w:r>
              <w:rPr>
                <w:rFonts w:hint="eastAsia" w:ascii="宋体" w:hAnsi="宋体"/>
                <w:sz w:val="18"/>
                <w:szCs w:val="18"/>
              </w:rPr>
              <w:t xml:space="preserve">  </w:t>
            </w:r>
            <w:r>
              <w:rPr>
                <w:rFonts w:hint="eastAsia" w:ascii="宋体" w:hAnsi="宋体" w:cs="宋体"/>
                <w:sz w:val="18"/>
                <w:szCs w:val="18"/>
              </w:rPr>
              <w:t>μm</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圆柱度公差</w:t>
            </w:r>
            <w:r>
              <w:rPr>
                <w:rFonts w:hint="eastAsia" w:ascii="宋体" w:hAnsi="宋体"/>
                <w:i/>
                <w:iCs/>
                <w:sz w:val="18"/>
                <w:szCs w:val="18"/>
              </w:rPr>
              <w:t>t</w:t>
            </w:r>
            <w:r>
              <w:rPr>
                <w:rFonts w:hint="eastAsia" w:ascii="宋体" w:hAnsi="宋体"/>
                <w:sz w:val="18"/>
                <w:szCs w:val="18"/>
                <w:vertAlign w:val="subscript"/>
              </w:rPr>
              <w:t>1</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对基准</w:t>
            </w:r>
            <w:r>
              <w:rPr>
                <w:rFonts w:hint="eastAsia" w:ascii="宋体" w:hAnsi="宋体"/>
                <w:i/>
                <w:iCs/>
                <w:sz w:val="18"/>
                <w:szCs w:val="18"/>
              </w:rPr>
              <w:t xml:space="preserve">A-B </w:t>
            </w:r>
            <w:r>
              <w:rPr>
                <w:rFonts w:hint="eastAsia" w:ascii="宋体" w:hAnsi="宋体"/>
                <w:sz w:val="18"/>
                <w:szCs w:val="18"/>
              </w:rPr>
              <w:t>的同轴度公差</w:t>
            </w:r>
            <w:r>
              <w:rPr>
                <w:rFonts w:hint="eastAsia" w:ascii="宋体" w:hAnsi="宋体"/>
                <w:i/>
                <w:iCs/>
                <w:sz w:val="18"/>
                <w:szCs w:val="18"/>
              </w:rPr>
              <w:t>t</w:t>
            </w:r>
            <w:r>
              <w:rPr>
                <w:rFonts w:hint="eastAsia" w:ascii="宋体" w:hAnsi="宋体"/>
                <w:sz w:val="18"/>
                <w:szCs w:val="18"/>
                <w:vertAlign w:val="subscript"/>
              </w:rPr>
              <w:t>2</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8级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公差带</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p6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restart"/>
            <w:noWrap w:val="0"/>
            <w:vAlign w:val="center"/>
          </w:tcPr>
          <w:p>
            <w:pPr>
              <w:autoSpaceDE w:val="0"/>
              <w:autoSpaceDN w:val="0"/>
              <w:adjustRightInd w:val="0"/>
              <w:jc w:val="center"/>
              <w:rPr>
                <w:rFonts w:hint="eastAsia" w:ascii="宋体" w:hAnsi="宋体"/>
                <w:sz w:val="18"/>
                <w:szCs w:val="18"/>
                <w:vertAlign w:val="subscript"/>
              </w:rPr>
            </w:pPr>
            <w:r>
              <w:rPr>
                <w:rFonts w:hint="eastAsia" w:ascii="宋体" w:hAnsi="宋体"/>
                <w:sz w:val="18"/>
                <w:szCs w:val="18"/>
              </w:rPr>
              <w:t>尺寸</w:t>
            </w:r>
            <w:r>
              <w:rPr>
                <w:rFonts w:hint="eastAsia" w:ascii="宋体" w:hAnsi="宋体"/>
                <w:i/>
                <w:iCs/>
                <w:sz w:val="18"/>
                <w:szCs w:val="18"/>
              </w:rPr>
              <w:t>d</w:t>
            </w:r>
            <w:r>
              <w:rPr>
                <w:rFonts w:hint="eastAsia" w:ascii="宋体" w:hAnsi="宋体"/>
                <w:sz w:val="18"/>
                <w:szCs w:val="18"/>
                <w:vertAlign w:val="subscript"/>
              </w:rPr>
              <w:t>2</w:t>
            </w:r>
          </w:p>
          <w:p>
            <w:pPr>
              <w:autoSpaceDE w:val="0"/>
              <w:autoSpaceDN w:val="0"/>
              <w:adjustRightInd w:val="0"/>
              <w:jc w:val="center"/>
              <w:rPr>
                <w:rFonts w:ascii="宋体" w:hAnsi="宋体"/>
                <w:sz w:val="18"/>
                <w:szCs w:val="18"/>
              </w:rPr>
            </w:pPr>
            <w:r>
              <w:rPr>
                <w:rFonts w:hint="eastAsia" w:ascii="宋体" w:hAnsi="宋体"/>
                <w:sz w:val="18"/>
                <w:szCs w:val="18"/>
              </w:rPr>
              <w:t>轴承安装面</w:t>
            </w: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2</w:t>
            </w:r>
            <w:r>
              <w:rPr>
                <w:rFonts w:hint="eastAsia" w:ascii="宋体" w:hAnsi="宋体"/>
                <w:sz w:val="18"/>
                <w:szCs w:val="18"/>
              </w:rPr>
              <w:t xml:space="preserve">  </w:t>
            </w:r>
            <w:r>
              <w:rPr>
                <w:rFonts w:hint="eastAsia" w:ascii="宋体" w:hAnsi="宋体" w:cs="宋体"/>
                <w:sz w:val="18"/>
                <w:szCs w:val="18"/>
              </w:rPr>
              <w:t>μm</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圆柱度公差</w:t>
            </w:r>
            <w:r>
              <w:rPr>
                <w:rFonts w:hint="eastAsia" w:ascii="宋体" w:hAnsi="宋体"/>
                <w:i/>
                <w:iCs/>
                <w:sz w:val="18"/>
                <w:szCs w:val="18"/>
              </w:rPr>
              <w:t>t</w:t>
            </w:r>
            <w:r>
              <w:rPr>
                <w:rFonts w:hint="eastAsia" w:ascii="宋体" w:hAnsi="宋体"/>
                <w:sz w:val="18"/>
                <w:szCs w:val="18"/>
                <w:vertAlign w:val="subscript"/>
              </w:rPr>
              <w:t>3</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对基准</w:t>
            </w:r>
            <w:r>
              <w:rPr>
                <w:rFonts w:hint="eastAsia" w:ascii="宋体" w:hAnsi="宋体"/>
                <w:i/>
                <w:iCs/>
                <w:sz w:val="18"/>
                <w:szCs w:val="18"/>
              </w:rPr>
              <w:t>A（B）</w:t>
            </w:r>
            <w:r>
              <w:rPr>
                <w:rFonts w:hint="eastAsia" w:ascii="宋体" w:hAnsi="宋体"/>
                <w:sz w:val="18"/>
                <w:szCs w:val="18"/>
              </w:rPr>
              <w:t>的同轴度公差</w:t>
            </w:r>
            <w:r>
              <w:rPr>
                <w:rFonts w:hint="eastAsia" w:ascii="宋体" w:hAnsi="宋体"/>
                <w:i/>
                <w:iCs/>
                <w:sz w:val="18"/>
                <w:szCs w:val="18"/>
              </w:rPr>
              <w:t>t</w:t>
            </w:r>
            <w:r>
              <w:rPr>
                <w:rFonts w:hint="eastAsia" w:ascii="宋体" w:hAnsi="宋体"/>
                <w:sz w:val="18"/>
                <w:szCs w:val="18"/>
                <w:vertAlign w:val="subscript"/>
              </w:rPr>
              <w:t>4</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8级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公差带</w:t>
            </w:r>
          </w:p>
        </w:tc>
        <w:tc>
          <w:tcPr>
            <w:tcW w:w="2861" w:type="pct"/>
            <w:noWrap w:val="0"/>
            <w:vAlign w:val="center"/>
          </w:tcPr>
          <w:p>
            <w:pPr>
              <w:autoSpaceDE w:val="0"/>
              <w:autoSpaceDN w:val="0"/>
              <w:adjustRightInd w:val="0"/>
              <w:jc w:val="left"/>
              <w:rPr>
                <w:rFonts w:hint="eastAsia"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restart"/>
            <w:noWrap w:val="0"/>
            <w:vAlign w:val="center"/>
          </w:tcPr>
          <w:p>
            <w:pPr>
              <w:autoSpaceDE w:val="0"/>
              <w:autoSpaceDN w:val="0"/>
              <w:adjustRightInd w:val="0"/>
              <w:jc w:val="center"/>
              <w:rPr>
                <w:rFonts w:hint="eastAsia" w:ascii="宋体" w:hAnsi="宋体"/>
                <w:sz w:val="18"/>
                <w:szCs w:val="18"/>
                <w:vertAlign w:val="subscript"/>
              </w:rPr>
            </w:pPr>
            <w:r>
              <w:rPr>
                <w:rFonts w:hint="eastAsia" w:ascii="宋体" w:hAnsi="宋体"/>
                <w:sz w:val="18"/>
                <w:szCs w:val="18"/>
              </w:rPr>
              <w:t>尺寸</w:t>
            </w:r>
            <w:r>
              <w:rPr>
                <w:rFonts w:hint="eastAsia" w:ascii="宋体" w:hAnsi="宋体"/>
                <w:i/>
                <w:iCs/>
                <w:sz w:val="18"/>
                <w:szCs w:val="18"/>
              </w:rPr>
              <w:t>d</w:t>
            </w:r>
            <w:r>
              <w:rPr>
                <w:rFonts w:hint="eastAsia" w:ascii="宋体" w:hAnsi="宋体"/>
                <w:sz w:val="18"/>
                <w:szCs w:val="18"/>
                <w:vertAlign w:val="subscript"/>
              </w:rPr>
              <w:t>3</w:t>
            </w:r>
            <w:r>
              <w:rPr>
                <w:rFonts w:hint="eastAsia" w:ascii="宋体" w:hAnsi="宋体"/>
                <w:sz w:val="18"/>
                <w:szCs w:val="18"/>
              </w:rPr>
              <w:t>、</w:t>
            </w:r>
            <w:r>
              <w:rPr>
                <w:rFonts w:hint="eastAsia" w:ascii="宋体" w:hAnsi="宋体"/>
                <w:i/>
                <w:iCs/>
                <w:sz w:val="18"/>
                <w:szCs w:val="18"/>
              </w:rPr>
              <w:t>d</w:t>
            </w:r>
            <w:r>
              <w:rPr>
                <w:rFonts w:hint="eastAsia" w:ascii="宋体" w:hAnsi="宋体"/>
                <w:sz w:val="18"/>
                <w:szCs w:val="18"/>
                <w:vertAlign w:val="subscript"/>
              </w:rPr>
              <w:t>4</w:t>
            </w:r>
          </w:p>
          <w:p>
            <w:pPr>
              <w:autoSpaceDE w:val="0"/>
              <w:autoSpaceDN w:val="0"/>
              <w:adjustRightInd w:val="0"/>
              <w:jc w:val="center"/>
              <w:rPr>
                <w:rFonts w:ascii="宋体" w:hAnsi="宋体"/>
                <w:sz w:val="18"/>
                <w:szCs w:val="18"/>
              </w:rPr>
            </w:pPr>
            <w:r>
              <w:rPr>
                <w:rFonts w:hint="eastAsia" w:ascii="宋体" w:hAnsi="宋体"/>
                <w:sz w:val="18"/>
                <w:szCs w:val="18"/>
              </w:rPr>
              <w:t>锥形辊面</w:t>
            </w: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3</w:t>
            </w:r>
            <w:r>
              <w:rPr>
                <w:rFonts w:hint="eastAsia" w:ascii="宋体" w:hAnsi="宋体"/>
                <w:sz w:val="18"/>
                <w:szCs w:val="18"/>
              </w:rPr>
              <w:t xml:space="preserve">  </w:t>
            </w:r>
            <w:r>
              <w:rPr>
                <w:rFonts w:hint="eastAsia" w:ascii="宋体" w:hAnsi="宋体" w:cs="宋体"/>
                <w:sz w:val="18"/>
                <w:szCs w:val="18"/>
              </w:rPr>
              <w:t>μm</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hint="eastAsia" w:ascii="宋体" w:hAnsi="宋体"/>
                <w:sz w:val="18"/>
                <w:szCs w:val="18"/>
              </w:rPr>
            </w:pPr>
          </w:p>
        </w:tc>
        <w:tc>
          <w:tcPr>
            <w:tcW w:w="1548"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对基准</w:t>
            </w:r>
            <w:r>
              <w:rPr>
                <w:rFonts w:hint="eastAsia" w:ascii="宋体" w:hAnsi="宋体"/>
                <w:i/>
                <w:iCs/>
                <w:sz w:val="18"/>
                <w:szCs w:val="18"/>
              </w:rPr>
              <w:t xml:space="preserve">A-B </w:t>
            </w:r>
            <w:r>
              <w:rPr>
                <w:rFonts w:hint="eastAsia" w:ascii="宋体" w:hAnsi="宋体"/>
                <w:sz w:val="18"/>
                <w:szCs w:val="18"/>
              </w:rPr>
              <w:t>的斜向全跳动公差</w:t>
            </w:r>
            <w:r>
              <w:rPr>
                <w:rFonts w:hint="eastAsia" w:ascii="宋体" w:hAnsi="宋体"/>
                <w:i/>
                <w:iCs/>
                <w:sz w:val="18"/>
                <w:szCs w:val="18"/>
              </w:rPr>
              <w:t>t</w:t>
            </w:r>
            <w:r>
              <w:rPr>
                <w:rFonts w:hint="eastAsia" w:ascii="宋体" w:hAnsi="宋体"/>
                <w:sz w:val="18"/>
                <w:szCs w:val="18"/>
                <w:vertAlign w:val="subscript"/>
              </w:rPr>
              <w:t>5</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8级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hint="eastAsia" w:ascii="宋体" w:hAnsi="宋体"/>
                <w:sz w:val="18"/>
                <w:szCs w:val="18"/>
              </w:rPr>
            </w:pP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表面淬火硬度</w:t>
            </w:r>
            <w:r>
              <w:rPr>
                <w:rFonts w:hint="eastAsia" w:ascii="宋体" w:hAnsi="宋体"/>
                <w:i/>
                <w:iCs/>
                <w:sz w:val="18"/>
                <w:szCs w:val="18"/>
              </w:rPr>
              <w:t>HRC</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40～46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hint="eastAsia" w:ascii="宋体" w:hAnsi="宋体"/>
                <w:sz w:val="18"/>
                <w:szCs w:val="18"/>
              </w:rPr>
            </w:pP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极限偏差</w:t>
            </w:r>
          </w:p>
        </w:tc>
        <w:tc>
          <w:tcPr>
            <w:tcW w:w="2861"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90" w:type="pct"/>
            <w:vMerge w:val="restart"/>
            <w:noWrap w:val="0"/>
            <w:vAlign w:val="center"/>
          </w:tcPr>
          <w:p>
            <w:pPr>
              <w:autoSpaceDE w:val="0"/>
              <w:autoSpaceDN w:val="0"/>
              <w:adjustRightInd w:val="0"/>
              <w:jc w:val="center"/>
              <w:rPr>
                <w:rFonts w:hint="eastAsia" w:ascii="宋体" w:hAnsi="宋体"/>
                <w:sz w:val="18"/>
                <w:szCs w:val="18"/>
                <w:vertAlign w:val="subscript"/>
              </w:rPr>
            </w:pPr>
            <w:r>
              <w:rPr>
                <w:rFonts w:hint="eastAsia" w:ascii="宋体" w:hAnsi="宋体"/>
                <w:sz w:val="18"/>
                <w:szCs w:val="18"/>
              </w:rPr>
              <w:t>尺寸</w:t>
            </w:r>
            <w:r>
              <w:rPr>
                <w:rFonts w:hint="eastAsia" w:ascii="宋体" w:hAnsi="宋体"/>
                <w:i/>
                <w:iCs/>
                <w:sz w:val="18"/>
                <w:szCs w:val="18"/>
              </w:rPr>
              <w:t>d</w:t>
            </w:r>
            <w:r>
              <w:rPr>
                <w:rFonts w:hint="eastAsia" w:ascii="宋体" w:hAnsi="宋体"/>
                <w:sz w:val="18"/>
                <w:szCs w:val="18"/>
                <w:vertAlign w:val="subscript"/>
              </w:rPr>
              <w:t>4</w:t>
            </w:r>
          </w:p>
          <w:p>
            <w:pPr>
              <w:autoSpaceDE w:val="0"/>
              <w:autoSpaceDN w:val="0"/>
              <w:adjustRightInd w:val="0"/>
              <w:jc w:val="center"/>
              <w:rPr>
                <w:rFonts w:ascii="宋体" w:hAnsi="宋体"/>
                <w:sz w:val="18"/>
                <w:szCs w:val="18"/>
              </w:rPr>
            </w:pPr>
            <w:r>
              <w:rPr>
                <w:rFonts w:hint="eastAsia" w:ascii="宋体" w:hAnsi="宋体"/>
                <w:sz w:val="18"/>
                <w:szCs w:val="18"/>
              </w:rPr>
              <w:t>平直辊面</w:t>
            </w: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4</w:t>
            </w:r>
            <w:r>
              <w:rPr>
                <w:rFonts w:hint="eastAsia" w:ascii="宋体" w:hAnsi="宋体"/>
                <w:sz w:val="18"/>
                <w:szCs w:val="18"/>
              </w:rPr>
              <w:t xml:space="preserve">  </w:t>
            </w:r>
            <w:r>
              <w:rPr>
                <w:rFonts w:hint="eastAsia" w:ascii="宋体" w:hAnsi="宋体" w:cs="宋体"/>
                <w:sz w:val="18"/>
                <w:szCs w:val="18"/>
              </w:rPr>
              <w:t>μm</w:t>
            </w:r>
          </w:p>
        </w:tc>
        <w:tc>
          <w:tcPr>
            <w:tcW w:w="2861"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对基准</w:t>
            </w:r>
            <w:r>
              <w:rPr>
                <w:rFonts w:hint="eastAsia" w:ascii="宋体" w:hAnsi="宋体"/>
                <w:i/>
                <w:iCs/>
                <w:sz w:val="18"/>
                <w:szCs w:val="18"/>
              </w:rPr>
              <w:t xml:space="preserve">A-B </w:t>
            </w:r>
            <w:r>
              <w:rPr>
                <w:rFonts w:hint="eastAsia" w:ascii="宋体" w:hAnsi="宋体"/>
                <w:sz w:val="18"/>
                <w:szCs w:val="18"/>
              </w:rPr>
              <w:t>的全跳动公差</w:t>
            </w:r>
            <w:r>
              <w:rPr>
                <w:rFonts w:hint="eastAsia" w:ascii="宋体" w:hAnsi="宋体"/>
                <w:i/>
                <w:iCs/>
                <w:sz w:val="18"/>
                <w:szCs w:val="18"/>
              </w:rPr>
              <w:t>t</w:t>
            </w:r>
            <w:r>
              <w:rPr>
                <w:rFonts w:hint="eastAsia" w:ascii="宋体" w:hAnsi="宋体"/>
                <w:sz w:val="18"/>
                <w:szCs w:val="18"/>
                <w:vertAlign w:val="subscript"/>
              </w:rPr>
              <w:t>6</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8级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vMerge w:val="continue"/>
            <w:noWrap w:val="0"/>
            <w:vAlign w:val="center"/>
          </w:tcPr>
          <w:p>
            <w:pPr>
              <w:autoSpaceDE w:val="0"/>
              <w:autoSpaceDN w:val="0"/>
              <w:adjustRightInd w:val="0"/>
              <w:jc w:val="center"/>
              <w:rPr>
                <w:rFonts w:ascii="宋体" w:hAnsi="宋体"/>
                <w:sz w:val="18"/>
                <w:szCs w:val="18"/>
              </w:rPr>
            </w:pPr>
          </w:p>
        </w:tc>
        <w:tc>
          <w:tcPr>
            <w:tcW w:w="1548"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极限偏差</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±0.5</w:t>
            </w:r>
          </w:p>
        </w:tc>
      </w:tr>
    </w:tbl>
    <w:p>
      <w:pPr>
        <w:autoSpaceDE w:val="0"/>
        <w:autoSpaceDN w:val="0"/>
        <w:adjustRightInd w:val="0"/>
        <w:snapToGrid w:val="0"/>
        <w:spacing w:before="156" w:beforeLines="50" w:after="156" w:afterLines="50"/>
        <w:jc w:val="center"/>
        <w:rPr>
          <w:rFonts w:hint="eastAsia" w:ascii="黑体" w:hAnsi="宋体" w:eastAsia="黑体"/>
        </w:rPr>
      </w:pPr>
    </w:p>
    <w:p>
      <w:pPr>
        <w:autoSpaceDE w:val="0"/>
        <w:autoSpaceDN w:val="0"/>
        <w:adjustRightInd w:val="0"/>
        <w:snapToGrid w:val="0"/>
        <w:spacing w:before="156" w:beforeLines="50" w:after="156" w:afterLines="50"/>
        <w:jc w:val="center"/>
        <w:rPr>
          <w:rFonts w:hint="eastAsia" w:ascii="黑体" w:hAnsi="宋体" w:eastAsia="黑体"/>
        </w:rPr>
      </w:pPr>
    </w:p>
    <w:p>
      <w:pPr>
        <w:autoSpaceDE w:val="0"/>
        <w:autoSpaceDN w:val="0"/>
        <w:adjustRightInd w:val="0"/>
        <w:snapToGrid w:val="0"/>
        <w:spacing w:before="156" w:beforeLines="50" w:after="156" w:afterLines="50"/>
        <w:jc w:val="center"/>
        <w:rPr>
          <w:rFonts w:hint="eastAsia" w:ascii="黑体" w:hAnsi="宋体" w:eastAsia="黑体"/>
        </w:rPr>
      </w:pPr>
    </w:p>
    <w:p>
      <w:pPr>
        <w:autoSpaceDE w:val="0"/>
        <w:autoSpaceDN w:val="0"/>
        <w:adjustRightInd w:val="0"/>
        <w:snapToGrid w:val="0"/>
        <w:spacing w:before="156" w:beforeLines="50" w:after="156" w:afterLines="50"/>
        <w:jc w:val="center"/>
        <w:rPr>
          <w:rFonts w:hint="eastAsia" w:ascii="黑体" w:hAnsi="宋体" w:eastAsia="黑体"/>
        </w:rPr>
      </w:pPr>
    </w:p>
    <w:p>
      <w:pPr>
        <w:autoSpaceDE w:val="0"/>
        <w:autoSpaceDN w:val="0"/>
        <w:adjustRightInd w:val="0"/>
        <w:snapToGrid w:val="0"/>
        <w:spacing w:before="156" w:beforeLines="50" w:after="156" w:afterLines="50"/>
        <w:jc w:val="center"/>
        <w:rPr>
          <w:rFonts w:ascii="黑体" w:hAnsi="宋体" w:eastAsia="黑体"/>
        </w:rPr>
      </w:pPr>
      <w:r>
        <w:rPr>
          <w:rFonts w:hint="eastAsia" w:ascii="黑体" w:hAnsi="宋体" w:eastAsia="黑体"/>
        </w:rPr>
        <w:t xml:space="preserve">表3  </w:t>
      </w:r>
      <w:r>
        <w:rPr>
          <w:rFonts w:hint="eastAsia" w:ascii="黑体" w:hAnsi="黑体" w:eastAsia="黑体" w:cs="黑体"/>
        </w:rPr>
        <w:t>实心直辊</w:t>
      </w:r>
    </w:p>
    <w:tbl>
      <w:tblPr>
        <w:tblStyle w:val="3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4"/>
        <w:gridCol w:w="2898"/>
        <w:gridCol w:w="5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项目</w:t>
            </w:r>
          </w:p>
        </w:tc>
        <w:tc>
          <w:tcPr>
            <w:tcW w:w="2861"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noWrap w:val="0"/>
            <w:vAlign w:val="center"/>
          </w:tcPr>
          <w:p>
            <w:pPr>
              <w:autoSpaceDE w:val="0"/>
              <w:autoSpaceDN w:val="0"/>
              <w:adjustRightInd w:val="0"/>
              <w:spacing w:before="156" w:beforeLines="50" w:after="156" w:afterLines="50"/>
              <w:jc w:val="center"/>
              <w:rPr>
                <w:rFonts w:hint="eastAsia" w:ascii="宋体" w:hAnsi="宋体"/>
                <w:sz w:val="18"/>
                <w:szCs w:val="18"/>
              </w:rPr>
            </w:pPr>
            <w:r>
              <w:pict>
                <v:shape id="_x0000_i1028" o:spt="75" type="#_x0000_t75" style="height:95.15pt;width:386.2pt;" filled="f" o:preferrelative="t" stroked="f" coordsize="21600,21600">
                  <v:path/>
                  <v:fill on="f" focussize="0,0"/>
                  <v:stroke on="f"/>
                  <v:imagedata r:id="rId19"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材质(推荐)</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rPr>
              <w:t>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8" w:type="pct"/>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2138" w:type="pct"/>
            <w:gridSpan w:val="2"/>
            <w:noWrap w:val="0"/>
            <w:vAlign w:val="center"/>
          </w:tcPr>
          <w:p>
            <w:pPr>
              <w:autoSpaceDE w:val="0"/>
              <w:autoSpaceDN w:val="0"/>
              <w:adjustRightInd w:val="0"/>
              <w:jc w:val="left"/>
              <w:rPr>
                <w:rFonts w:hint="eastAsia" w:ascii="宋体" w:hAnsi="宋体" w:eastAsia="宋体"/>
                <w:sz w:val="18"/>
                <w:szCs w:val="18"/>
                <w:lang w:eastAsia="zh-CN"/>
              </w:rPr>
            </w:pPr>
            <w:r>
              <w:rPr>
                <w:rFonts w:hint="eastAsia" w:ascii="宋体" w:hAnsi="宋体"/>
                <w:sz w:val="18"/>
                <w:szCs w:val="18"/>
              </w:rPr>
              <w:t>热处理调质硬度</w:t>
            </w:r>
            <w:r>
              <w:rPr>
                <w:rFonts w:hint="eastAsia" w:ascii="宋体" w:hAnsi="宋体"/>
                <w:i/>
                <w:iCs/>
                <w:sz w:val="18"/>
                <w:szCs w:val="18"/>
              </w:rPr>
              <w:t>HB</w:t>
            </w:r>
            <w:r>
              <w:rPr>
                <w:rFonts w:hint="eastAsia" w:ascii="宋体" w:hAnsi="宋体"/>
                <w:i/>
                <w:iCs/>
                <w:color w:val="auto"/>
                <w:sz w:val="18"/>
                <w:szCs w:val="18"/>
                <w:lang w:val="en-US" w:eastAsia="zh-CN"/>
              </w:rPr>
              <w:t>W</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241～286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2138" w:type="pct"/>
            <w:gridSpan w:val="2"/>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动平衡品质级别</w:t>
            </w:r>
          </w:p>
        </w:tc>
        <w:tc>
          <w:tcPr>
            <w:tcW w:w="2861"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不低于GB/T 9239.1—2006规定的G 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restart"/>
            <w:noWrap w:val="0"/>
            <w:vAlign w:val="center"/>
          </w:tcPr>
          <w:p>
            <w:pPr>
              <w:autoSpaceDE w:val="0"/>
              <w:autoSpaceDN w:val="0"/>
              <w:adjustRightInd w:val="0"/>
              <w:jc w:val="center"/>
              <w:rPr>
                <w:rFonts w:hint="eastAsia" w:ascii="宋体" w:hAnsi="宋体"/>
                <w:sz w:val="18"/>
                <w:szCs w:val="18"/>
                <w:vertAlign w:val="subscript"/>
              </w:rPr>
            </w:pPr>
            <w:r>
              <w:rPr>
                <w:rFonts w:hint="eastAsia" w:ascii="宋体" w:hAnsi="宋体"/>
                <w:sz w:val="18"/>
                <w:szCs w:val="18"/>
              </w:rPr>
              <w:t>尺寸</w:t>
            </w:r>
            <w:r>
              <w:rPr>
                <w:rFonts w:hint="eastAsia" w:ascii="宋体" w:hAnsi="宋体"/>
                <w:i/>
                <w:iCs/>
                <w:sz w:val="18"/>
                <w:szCs w:val="18"/>
              </w:rPr>
              <w:t>d</w:t>
            </w:r>
            <w:r>
              <w:rPr>
                <w:rFonts w:hint="eastAsia" w:ascii="宋体" w:hAnsi="宋体"/>
                <w:sz w:val="18"/>
                <w:szCs w:val="18"/>
                <w:vertAlign w:val="subscript"/>
              </w:rPr>
              <w:t>1</w:t>
            </w:r>
          </w:p>
          <w:p>
            <w:pPr>
              <w:autoSpaceDE w:val="0"/>
              <w:autoSpaceDN w:val="0"/>
              <w:adjustRightInd w:val="0"/>
              <w:jc w:val="center"/>
              <w:rPr>
                <w:rFonts w:ascii="宋体" w:hAnsi="宋体"/>
                <w:sz w:val="18"/>
                <w:szCs w:val="18"/>
              </w:rPr>
            </w:pPr>
            <w:r>
              <w:rPr>
                <w:rFonts w:hint="eastAsia" w:ascii="宋体" w:hAnsi="宋体"/>
                <w:sz w:val="18"/>
                <w:szCs w:val="18"/>
              </w:rPr>
              <w:t>传动轴面</w:t>
            </w: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1</w:t>
            </w:r>
            <w:r>
              <w:rPr>
                <w:rFonts w:hint="eastAsia" w:ascii="宋体" w:hAnsi="宋体" w:cs="宋体"/>
                <w:sz w:val="18"/>
                <w:szCs w:val="18"/>
              </w:rPr>
              <w:t xml:space="preserve">  μm</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ascii="宋体" w:hAnsi="宋体"/>
                <w:sz w:val="18"/>
                <w:szCs w:val="18"/>
              </w:rPr>
            </w:pP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圆柱度公差</w:t>
            </w:r>
            <w:r>
              <w:rPr>
                <w:rFonts w:hint="eastAsia" w:ascii="宋体" w:hAnsi="宋体"/>
                <w:i/>
                <w:iCs/>
                <w:sz w:val="18"/>
                <w:szCs w:val="18"/>
              </w:rPr>
              <w:t>t</w:t>
            </w:r>
            <w:r>
              <w:rPr>
                <w:rFonts w:hint="eastAsia" w:ascii="宋体" w:hAnsi="宋体"/>
                <w:sz w:val="18"/>
                <w:szCs w:val="18"/>
                <w:vertAlign w:val="subscript"/>
              </w:rPr>
              <w:t>1</w:t>
            </w:r>
          </w:p>
        </w:tc>
        <w:tc>
          <w:tcPr>
            <w:tcW w:w="2861"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ascii="宋体" w:hAnsi="宋体"/>
                <w:sz w:val="18"/>
                <w:szCs w:val="18"/>
              </w:rPr>
            </w:pP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对基准</w:t>
            </w:r>
            <w:r>
              <w:rPr>
                <w:rFonts w:hint="eastAsia" w:ascii="宋体" w:hAnsi="宋体"/>
                <w:i/>
                <w:iCs/>
                <w:sz w:val="18"/>
                <w:szCs w:val="18"/>
              </w:rPr>
              <w:t xml:space="preserve">A-B </w:t>
            </w:r>
            <w:r>
              <w:rPr>
                <w:rFonts w:hint="eastAsia" w:ascii="宋体" w:hAnsi="宋体"/>
                <w:sz w:val="18"/>
                <w:szCs w:val="18"/>
              </w:rPr>
              <w:t>的同轴度公差</w:t>
            </w:r>
            <w:r>
              <w:rPr>
                <w:rFonts w:hint="eastAsia" w:ascii="宋体" w:hAnsi="宋体"/>
                <w:i/>
                <w:iCs/>
                <w:sz w:val="18"/>
                <w:szCs w:val="18"/>
              </w:rPr>
              <w:t>t</w:t>
            </w:r>
            <w:r>
              <w:rPr>
                <w:rFonts w:hint="eastAsia" w:ascii="宋体" w:hAnsi="宋体"/>
                <w:sz w:val="18"/>
                <w:szCs w:val="18"/>
                <w:vertAlign w:val="subscript"/>
              </w:rPr>
              <w:t>2</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8级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ascii="宋体" w:hAnsi="宋体"/>
                <w:sz w:val="18"/>
                <w:szCs w:val="18"/>
              </w:rPr>
            </w:pPr>
          </w:p>
        </w:tc>
        <w:tc>
          <w:tcPr>
            <w:tcW w:w="1513"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公差带</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p6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restart"/>
            <w:noWrap w:val="0"/>
            <w:vAlign w:val="center"/>
          </w:tcPr>
          <w:p>
            <w:pPr>
              <w:autoSpaceDE w:val="0"/>
              <w:autoSpaceDN w:val="0"/>
              <w:adjustRightInd w:val="0"/>
              <w:jc w:val="center"/>
              <w:rPr>
                <w:rFonts w:hint="eastAsia" w:ascii="宋体" w:hAnsi="宋体"/>
                <w:sz w:val="18"/>
                <w:szCs w:val="18"/>
                <w:vertAlign w:val="subscript"/>
              </w:rPr>
            </w:pPr>
            <w:r>
              <w:rPr>
                <w:rFonts w:hint="eastAsia" w:ascii="宋体" w:hAnsi="宋体"/>
                <w:sz w:val="18"/>
                <w:szCs w:val="18"/>
              </w:rPr>
              <w:t>尺寸</w:t>
            </w:r>
            <w:r>
              <w:rPr>
                <w:rFonts w:hint="eastAsia" w:ascii="宋体" w:hAnsi="宋体"/>
                <w:i/>
                <w:iCs/>
                <w:sz w:val="18"/>
                <w:szCs w:val="18"/>
              </w:rPr>
              <w:t>d</w:t>
            </w:r>
            <w:r>
              <w:rPr>
                <w:rFonts w:hint="eastAsia" w:ascii="宋体" w:hAnsi="宋体"/>
                <w:sz w:val="18"/>
                <w:szCs w:val="18"/>
                <w:vertAlign w:val="subscript"/>
              </w:rPr>
              <w:t>2</w:t>
            </w:r>
          </w:p>
          <w:p>
            <w:pPr>
              <w:autoSpaceDE w:val="0"/>
              <w:autoSpaceDN w:val="0"/>
              <w:adjustRightInd w:val="0"/>
              <w:jc w:val="center"/>
              <w:rPr>
                <w:rFonts w:ascii="宋体" w:hAnsi="宋体"/>
                <w:sz w:val="18"/>
                <w:szCs w:val="18"/>
              </w:rPr>
            </w:pPr>
            <w:r>
              <w:rPr>
                <w:rFonts w:hint="eastAsia" w:ascii="宋体" w:hAnsi="宋体"/>
                <w:sz w:val="18"/>
                <w:szCs w:val="18"/>
              </w:rPr>
              <w:t>轴承安装面</w:t>
            </w: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2</w:t>
            </w:r>
            <w:r>
              <w:rPr>
                <w:rFonts w:hint="eastAsia" w:ascii="宋体" w:hAnsi="宋体" w:cs="宋体"/>
                <w:sz w:val="18"/>
                <w:szCs w:val="18"/>
              </w:rPr>
              <w:t xml:space="preserve">  μm</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ascii="宋体" w:hAnsi="宋体"/>
                <w:sz w:val="18"/>
                <w:szCs w:val="18"/>
              </w:rPr>
            </w:pP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圆柱度公差</w:t>
            </w:r>
            <w:r>
              <w:rPr>
                <w:rFonts w:hint="eastAsia" w:ascii="宋体" w:hAnsi="宋体"/>
                <w:i/>
                <w:iCs/>
                <w:sz w:val="18"/>
                <w:szCs w:val="18"/>
              </w:rPr>
              <w:t>t</w:t>
            </w:r>
            <w:r>
              <w:rPr>
                <w:rFonts w:hint="eastAsia" w:ascii="宋体" w:hAnsi="宋体"/>
                <w:sz w:val="18"/>
                <w:szCs w:val="18"/>
                <w:vertAlign w:val="subscript"/>
              </w:rPr>
              <w:t>3</w:t>
            </w:r>
          </w:p>
        </w:tc>
        <w:tc>
          <w:tcPr>
            <w:tcW w:w="2861"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ascii="宋体" w:hAnsi="宋体"/>
                <w:sz w:val="18"/>
                <w:szCs w:val="18"/>
              </w:rPr>
            </w:pP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对基准</w:t>
            </w:r>
            <w:r>
              <w:rPr>
                <w:rFonts w:hint="eastAsia" w:ascii="宋体" w:hAnsi="宋体"/>
                <w:i/>
                <w:iCs/>
                <w:sz w:val="18"/>
                <w:szCs w:val="18"/>
              </w:rPr>
              <w:t>A（B）</w:t>
            </w:r>
            <w:r>
              <w:rPr>
                <w:rFonts w:hint="eastAsia" w:ascii="宋体" w:hAnsi="宋体"/>
                <w:sz w:val="18"/>
                <w:szCs w:val="18"/>
              </w:rPr>
              <w:t>的同轴度公差</w:t>
            </w:r>
            <w:r>
              <w:rPr>
                <w:rFonts w:hint="eastAsia" w:ascii="宋体" w:hAnsi="宋体"/>
                <w:i/>
                <w:iCs/>
                <w:sz w:val="18"/>
                <w:szCs w:val="18"/>
              </w:rPr>
              <w:t>t</w:t>
            </w:r>
            <w:r>
              <w:rPr>
                <w:rFonts w:hint="eastAsia" w:ascii="宋体" w:hAnsi="宋体"/>
                <w:sz w:val="18"/>
                <w:szCs w:val="18"/>
                <w:vertAlign w:val="subscript"/>
              </w:rPr>
              <w:t>4</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8级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ascii="宋体" w:hAnsi="宋体"/>
                <w:sz w:val="18"/>
                <w:szCs w:val="18"/>
              </w:rPr>
            </w:pPr>
          </w:p>
        </w:tc>
        <w:tc>
          <w:tcPr>
            <w:tcW w:w="1513"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公差带</w:t>
            </w:r>
          </w:p>
        </w:tc>
        <w:tc>
          <w:tcPr>
            <w:tcW w:w="2861" w:type="pct"/>
            <w:noWrap w:val="0"/>
            <w:vAlign w:val="center"/>
          </w:tcPr>
          <w:p>
            <w:pPr>
              <w:autoSpaceDE w:val="0"/>
              <w:autoSpaceDN w:val="0"/>
              <w:adjustRightInd w:val="0"/>
              <w:jc w:val="left"/>
              <w:rPr>
                <w:rFonts w:hint="eastAsia"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restart"/>
            <w:noWrap w:val="0"/>
            <w:vAlign w:val="center"/>
          </w:tcPr>
          <w:p>
            <w:pPr>
              <w:autoSpaceDE w:val="0"/>
              <w:autoSpaceDN w:val="0"/>
              <w:adjustRightInd w:val="0"/>
              <w:jc w:val="center"/>
              <w:rPr>
                <w:rFonts w:hint="eastAsia" w:ascii="宋体" w:hAnsi="宋体"/>
                <w:sz w:val="18"/>
                <w:szCs w:val="18"/>
                <w:vertAlign w:val="subscript"/>
              </w:rPr>
            </w:pPr>
            <w:r>
              <w:rPr>
                <w:rFonts w:hint="eastAsia" w:ascii="宋体" w:hAnsi="宋体"/>
                <w:sz w:val="18"/>
                <w:szCs w:val="18"/>
              </w:rPr>
              <w:t>尺寸</w:t>
            </w:r>
            <w:r>
              <w:rPr>
                <w:rFonts w:hint="eastAsia" w:ascii="宋体" w:hAnsi="宋体"/>
                <w:i/>
                <w:iCs/>
                <w:sz w:val="18"/>
                <w:szCs w:val="18"/>
              </w:rPr>
              <w:t>d</w:t>
            </w:r>
            <w:r>
              <w:rPr>
                <w:rFonts w:hint="eastAsia" w:ascii="宋体" w:hAnsi="宋体"/>
                <w:sz w:val="18"/>
                <w:szCs w:val="18"/>
                <w:vertAlign w:val="subscript"/>
              </w:rPr>
              <w:t>4</w:t>
            </w:r>
          </w:p>
          <w:p>
            <w:pPr>
              <w:autoSpaceDE w:val="0"/>
              <w:autoSpaceDN w:val="0"/>
              <w:adjustRightInd w:val="0"/>
              <w:jc w:val="center"/>
              <w:rPr>
                <w:rFonts w:ascii="宋体" w:hAnsi="宋体"/>
                <w:sz w:val="18"/>
                <w:szCs w:val="18"/>
              </w:rPr>
            </w:pPr>
            <w:r>
              <w:rPr>
                <w:rFonts w:hint="eastAsia" w:ascii="宋体" w:hAnsi="宋体"/>
                <w:sz w:val="18"/>
                <w:szCs w:val="18"/>
              </w:rPr>
              <w:t>辊身面</w:t>
            </w: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3</w:t>
            </w:r>
            <w:r>
              <w:rPr>
                <w:rFonts w:hint="eastAsia" w:ascii="宋体" w:hAnsi="宋体" w:cs="宋体"/>
                <w:sz w:val="18"/>
                <w:szCs w:val="18"/>
              </w:rPr>
              <w:t xml:space="preserve">  μm</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hint="eastAsia" w:ascii="宋体" w:hAnsi="宋体"/>
                <w:sz w:val="18"/>
                <w:szCs w:val="18"/>
              </w:rPr>
            </w:pPr>
          </w:p>
        </w:tc>
        <w:tc>
          <w:tcPr>
            <w:tcW w:w="1513"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对基准</w:t>
            </w:r>
            <w:r>
              <w:rPr>
                <w:rFonts w:hint="eastAsia" w:ascii="宋体" w:hAnsi="宋体"/>
                <w:i/>
                <w:iCs/>
                <w:sz w:val="18"/>
                <w:szCs w:val="18"/>
              </w:rPr>
              <w:t xml:space="preserve">A-B </w:t>
            </w:r>
            <w:r>
              <w:rPr>
                <w:rFonts w:hint="eastAsia" w:ascii="宋体" w:hAnsi="宋体"/>
                <w:sz w:val="18"/>
                <w:szCs w:val="18"/>
              </w:rPr>
              <w:t>的全跳动公差</w:t>
            </w:r>
            <w:r>
              <w:rPr>
                <w:rFonts w:hint="eastAsia" w:ascii="宋体" w:hAnsi="宋体"/>
                <w:i/>
                <w:iCs/>
                <w:sz w:val="18"/>
                <w:szCs w:val="18"/>
              </w:rPr>
              <w:t>t</w:t>
            </w:r>
            <w:r>
              <w:rPr>
                <w:rFonts w:hint="eastAsia" w:ascii="宋体" w:hAnsi="宋体"/>
                <w:sz w:val="18"/>
                <w:szCs w:val="18"/>
                <w:vertAlign w:val="subscript"/>
              </w:rPr>
              <w:t>5</w:t>
            </w:r>
          </w:p>
        </w:tc>
        <w:tc>
          <w:tcPr>
            <w:tcW w:w="286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8级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hint="eastAsia" w:ascii="宋体" w:hAnsi="宋体"/>
                <w:sz w:val="18"/>
                <w:szCs w:val="18"/>
              </w:rPr>
            </w:pPr>
          </w:p>
        </w:tc>
        <w:tc>
          <w:tcPr>
            <w:tcW w:w="1513"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表面淬火硬度</w:t>
            </w:r>
            <w:r>
              <w:rPr>
                <w:rFonts w:hint="eastAsia" w:ascii="宋体" w:hAnsi="宋体"/>
                <w:i/>
                <w:iCs/>
                <w:sz w:val="18"/>
                <w:szCs w:val="18"/>
              </w:rPr>
              <w:t>HRC</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40～46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vMerge w:val="continue"/>
            <w:noWrap w:val="0"/>
            <w:vAlign w:val="center"/>
          </w:tcPr>
          <w:p>
            <w:pPr>
              <w:autoSpaceDE w:val="0"/>
              <w:autoSpaceDN w:val="0"/>
              <w:adjustRightInd w:val="0"/>
              <w:jc w:val="center"/>
              <w:rPr>
                <w:rFonts w:hint="eastAsia" w:ascii="宋体" w:hAnsi="宋体"/>
                <w:sz w:val="18"/>
                <w:szCs w:val="18"/>
              </w:rPr>
            </w:pPr>
          </w:p>
        </w:tc>
        <w:tc>
          <w:tcPr>
            <w:tcW w:w="1513"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极限偏差</w:t>
            </w:r>
          </w:p>
        </w:tc>
        <w:tc>
          <w:tcPr>
            <w:tcW w:w="2861"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±0.5</w:t>
            </w:r>
          </w:p>
        </w:tc>
      </w:tr>
    </w:tbl>
    <w:p>
      <w:pPr>
        <w:pStyle w:val="43"/>
        <w:numPr>
          <w:ilvl w:val="0"/>
          <w:numId w:val="0"/>
        </w:numPr>
        <w:jc w:val="both"/>
        <w:outlineLvl w:val="1"/>
        <w:rPr>
          <w:rFonts w:hint="eastAsia" w:hAnsi="宋体" w:cs="Arial"/>
        </w:rPr>
      </w:pPr>
      <w:bookmarkStart w:id="85" w:name="_Toc61356325"/>
      <w:r>
        <w:rPr>
          <w:rFonts w:hint="eastAsia" w:hAnsi="宋体"/>
        </w:rPr>
        <w:t xml:space="preserve">6.2.2 </w:t>
      </w:r>
      <w:r>
        <w:rPr>
          <w:rFonts w:ascii="宋体" w:hAnsi="宋体" w:eastAsia="宋体"/>
        </w:rPr>
        <w:t xml:space="preserve"> </w:t>
      </w:r>
      <w:r>
        <w:rPr>
          <w:rFonts w:hint="eastAsia" w:ascii="宋体" w:hAnsi="宋体" w:eastAsia="宋体" w:cs="Arial"/>
        </w:rPr>
        <w:t>轴承座加工技术要求应符合表4的规定。</w:t>
      </w: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hint="eastAsia" w:ascii="黑体" w:hAnsi="黑体" w:eastAsia="黑体"/>
        </w:rPr>
      </w:pPr>
    </w:p>
    <w:p>
      <w:pPr>
        <w:pStyle w:val="23"/>
        <w:spacing w:before="156" w:beforeLines="50" w:after="156" w:afterLines="50"/>
        <w:jc w:val="center"/>
        <w:rPr>
          <w:rFonts w:ascii="黑体" w:hAnsi="黑体" w:eastAsia="黑体"/>
        </w:rPr>
      </w:pPr>
      <w:r>
        <w:rPr>
          <w:rFonts w:hint="eastAsia" w:ascii="黑体" w:hAnsi="黑体" w:eastAsia="黑体"/>
        </w:rPr>
        <w:t xml:space="preserve">表4  </w:t>
      </w:r>
      <w:r>
        <w:rPr>
          <w:rFonts w:hint="eastAsia" w:ascii="黑体" w:hAnsi="黑体" w:eastAsia="黑体" w:cs="黑体"/>
        </w:rPr>
        <w:t>轴承座</w:t>
      </w:r>
    </w:p>
    <w:tbl>
      <w:tblPr>
        <w:tblStyle w:val="3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3025"/>
        <w:gridCol w:w="5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322" w:type="pct"/>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项目</w:t>
            </w:r>
          </w:p>
        </w:tc>
        <w:tc>
          <w:tcPr>
            <w:tcW w:w="2677"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5000" w:type="pct"/>
            <w:gridSpan w:val="3"/>
            <w:noWrap w:val="0"/>
            <w:vAlign w:val="center"/>
          </w:tcPr>
          <w:p>
            <w:pPr>
              <w:autoSpaceDE w:val="0"/>
              <w:autoSpaceDN w:val="0"/>
              <w:adjustRightInd w:val="0"/>
              <w:spacing w:before="156" w:beforeLines="50" w:after="156" w:afterLines="50"/>
              <w:jc w:val="center"/>
              <w:rPr>
                <w:rFonts w:hint="eastAsia" w:ascii="宋体" w:hAnsi="宋体"/>
                <w:sz w:val="18"/>
                <w:szCs w:val="18"/>
              </w:rPr>
            </w:pPr>
            <w:r>
              <w:pict>
                <v:shape id="_x0000_i1029" o:spt="75" type="#_x0000_t75" style="height:166.5pt;width:339.35pt;" filled="f" o:preferrelative="t" stroked="f" coordsize="21600,21600">
                  <v:path/>
                  <v:fill on="f" focussize="0,0"/>
                  <v:stroke on="f"/>
                  <v:imagedata r:id="rId20"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2322" w:type="pct"/>
            <w:gridSpan w:val="2"/>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材质</w:t>
            </w:r>
          </w:p>
        </w:tc>
        <w:tc>
          <w:tcPr>
            <w:tcW w:w="2677"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优质碳素结构钢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4440" w:type="dxa"/>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2677"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4440" w:type="dxa"/>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2677"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4440" w:type="dxa"/>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2677"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4440" w:type="dxa"/>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2677"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740" w:type="pct"/>
            <w:vMerge w:val="restart"/>
            <w:noWrap w:val="0"/>
            <w:vAlign w:val="center"/>
          </w:tcPr>
          <w:p>
            <w:pPr>
              <w:autoSpaceDE w:val="0"/>
              <w:autoSpaceDN w:val="0"/>
              <w:adjustRightInd w:val="0"/>
              <w:jc w:val="center"/>
              <w:rPr>
                <w:rFonts w:hint="eastAsia" w:ascii="宋体" w:hAnsi="宋体"/>
                <w:i/>
                <w:iCs/>
                <w:sz w:val="18"/>
                <w:szCs w:val="18"/>
              </w:rPr>
            </w:pPr>
            <w:r>
              <w:rPr>
                <w:rFonts w:hint="eastAsia" w:ascii="宋体" w:hAnsi="宋体"/>
                <w:sz w:val="18"/>
                <w:szCs w:val="18"/>
              </w:rPr>
              <w:t>尺寸</w:t>
            </w:r>
            <w:r>
              <w:rPr>
                <w:rFonts w:hint="eastAsia" w:ascii="宋体" w:hAnsi="宋体"/>
                <w:i/>
                <w:iCs/>
                <w:sz w:val="18"/>
                <w:szCs w:val="18"/>
              </w:rPr>
              <w:t>φd</w:t>
            </w:r>
          </w:p>
          <w:p>
            <w:pPr>
              <w:autoSpaceDE w:val="0"/>
              <w:autoSpaceDN w:val="0"/>
              <w:adjustRightInd w:val="0"/>
              <w:jc w:val="center"/>
              <w:rPr>
                <w:rFonts w:ascii="宋体" w:hAnsi="宋体"/>
                <w:sz w:val="18"/>
                <w:szCs w:val="18"/>
              </w:rPr>
            </w:pPr>
            <w:r>
              <w:rPr>
                <w:rFonts w:hint="eastAsia" w:ascii="宋体" w:hAnsi="宋体"/>
                <w:sz w:val="18"/>
                <w:szCs w:val="18"/>
              </w:rPr>
              <w:t>轴承安装面</w:t>
            </w:r>
          </w:p>
        </w:tc>
        <w:tc>
          <w:tcPr>
            <w:tcW w:w="158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1</w:t>
            </w:r>
            <w:r>
              <w:rPr>
                <w:rFonts w:hint="eastAsia" w:ascii="宋体" w:hAnsi="宋体" w:cs="宋体"/>
                <w:sz w:val="18"/>
                <w:szCs w:val="18"/>
              </w:rPr>
              <w:t xml:space="preserve">  μm</w:t>
            </w:r>
          </w:p>
        </w:tc>
        <w:tc>
          <w:tcPr>
            <w:tcW w:w="2677"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continue"/>
            <w:noWrap w:val="0"/>
            <w:vAlign w:val="center"/>
          </w:tcPr>
          <w:p>
            <w:pPr>
              <w:autoSpaceDE w:val="0"/>
              <w:autoSpaceDN w:val="0"/>
              <w:adjustRightInd w:val="0"/>
              <w:jc w:val="center"/>
              <w:rPr>
                <w:rFonts w:ascii="宋体" w:hAnsi="宋体"/>
                <w:sz w:val="18"/>
                <w:szCs w:val="18"/>
              </w:rPr>
            </w:pPr>
          </w:p>
        </w:tc>
        <w:tc>
          <w:tcPr>
            <w:tcW w:w="158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圆柱度公差</w:t>
            </w:r>
            <w:r>
              <w:rPr>
                <w:rFonts w:hint="eastAsia" w:ascii="宋体" w:hAnsi="宋体"/>
                <w:i/>
                <w:iCs/>
                <w:sz w:val="18"/>
                <w:szCs w:val="18"/>
              </w:rPr>
              <w:t>t</w:t>
            </w:r>
            <w:r>
              <w:rPr>
                <w:rFonts w:hint="eastAsia" w:ascii="宋体" w:hAnsi="宋体"/>
                <w:sz w:val="18"/>
                <w:szCs w:val="18"/>
                <w:vertAlign w:val="subscript"/>
              </w:rPr>
              <w:t>1</w:t>
            </w:r>
          </w:p>
        </w:tc>
        <w:tc>
          <w:tcPr>
            <w:tcW w:w="2677"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lang w:val="en-US" w:eastAsia="zh-CN"/>
              </w:rPr>
              <w:t>公差等级</w:t>
            </w:r>
            <w:r>
              <w:rPr>
                <w:rFonts w:hint="eastAsia" w:ascii="宋体" w:hAnsi="宋体"/>
                <w:sz w:val="18"/>
                <w:szCs w:val="18"/>
              </w:rPr>
              <w:t>不低于</w:t>
            </w:r>
            <w:r>
              <w:rPr>
                <w:rFonts w:hint="eastAsia" w:ascii="宋体" w:hAnsi="宋体"/>
                <w:sz w:val="18"/>
              </w:rPr>
              <w:t>GB/T 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continue"/>
            <w:noWrap w:val="0"/>
            <w:vAlign w:val="center"/>
          </w:tcPr>
          <w:p>
            <w:pPr>
              <w:autoSpaceDE w:val="0"/>
              <w:autoSpaceDN w:val="0"/>
              <w:adjustRightInd w:val="0"/>
              <w:jc w:val="center"/>
              <w:rPr>
                <w:rFonts w:ascii="宋体" w:hAnsi="宋体"/>
                <w:sz w:val="18"/>
                <w:szCs w:val="18"/>
              </w:rPr>
            </w:pPr>
          </w:p>
        </w:tc>
        <w:tc>
          <w:tcPr>
            <w:tcW w:w="158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公差带</w:t>
            </w:r>
          </w:p>
        </w:tc>
        <w:tc>
          <w:tcPr>
            <w:tcW w:w="2677" w:type="pct"/>
            <w:noWrap w:val="0"/>
            <w:vAlign w:val="center"/>
          </w:tcPr>
          <w:p>
            <w:pPr>
              <w:autoSpaceDE w:val="0"/>
              <w:autoSpaceDN w:val="0"/>
              <w:adjustRightInd w:val="0"/>
              <w:jc w:val="left"/>
              <w:rPr>
                <w:rFonts w:hint="eastAsia"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H7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740"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尺寸</w:t>
            </w:r>
            <w:r>
              <w:rPr>
                <w:rFonts w:hint="eastAsia" w:ascii="宋体" w:hAnsi="宋体"/>
                <w:i/>
                <w:iCs/>
                <w:sz w:val="18"/>
                <w:szCs w:val="18"/>
              </w:rPr>
              <w:t>b</w:t>
            </w:r>
            <w:r>
              <w:rPr>
                <w:rFonts w:hint="eastAsia" w:ascii="宋体" w:hAnsi="宋体"/>
                <w:sz w:val="18"/>
                <w:szCs w:val="18"/>
                <w:vertAlign w:val="subscript"/>
              </w:rPr>
              <w:t>1</w:t>
            </w:r>
            <w:r>
              <w:rPr>
                <w:rFonts w:hint="eastAsia" w:ascii="宋体" w:hAnsi="宋体"/>
                <w:sz w:val="18"/>
                <w:szCs w:val="18"/>
              </w:rPr>
              <w:t>侧面</w:t>
            </w:r>
          </w:p>
        </w:tc>
        <w:tc>
          <w:tcPr>
            <w:tcW w:w="158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2</w:t>
            </w:r>
            <w:r>
              <w:rPr>
                <w:rFonts w:hint="eastAsia" w:ascii="宋体" w:hAnsi="宋体" w:cs="宋体"/>
                <w:sz w:val="18"/>
                <w:szCs w:val="18"/>
              </w:rPr>
              <w:t xml:space="preserve">  μm</w:t>
            </w:r>
          </w:p>
        </w:tc>
        <w:tc>
          <w:tcPr>
            <w:tcW w:w="2677"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restar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尺寸</w:t>
            </w:r>
            <w:r>
              <w:rPr>
                <w:rFonts w:hint="eastAsia" w:ascii="宋体" w:hAnsi="宋体"/>
                <w:i/>
                <w:iCs/>
                <w:sz w:val="18"/>
                <w:szCs w:val="18"/>
              </w:rPr>
              <w:t>b</w:t>
            </w:r>
            <w:r>
              <w:rPr>
                <w:rFonts w:hint="eastAsia" w:ascii="宋体" w:hAnsi="宋体"/>
                <w:sz w:val="18"/>
                <w:szCs w:val="18"/>
                <w:vertAlign w:val="subscript"/>
              </w:rPr>
              <w:t>2</w:t>
            </w:r>
            <w:r>
              <w:rPr>
                <w:rFonts w:hint="eastAsia" w:ascii="宋体" w:hAnsi="宋体"/>
                <w:sz w:val="18"/>
                <w:szCs w:val="18"/>
              </w:rPr>
              <w:t>侧面</w:t>
            </w:r>
          </w:p>
        </w:tc>
        <w:tc>
          <w:tcPr>
            <w:tcW w:w="158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3</w:t>
            </w:r>
            <w:r>
              <w:rPr>
                <w:rFonts w:hint="eastAsia" w:ascii="宋体" w:hAnsi="宋体" w:cs="宋体"/>
                <w:sz w:val="18"/>
                <w:szCs w:val="18"/>
              </w:rPr>
              <w:t xml:space="preserve">  μm</w:t>
            </w:r>
          </w:p>
        </w:tc>
        <w:tc>
          <w:tcPr>
            <w:tcW w:w="2677"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continue"/>
            <w:noWrap w:val="0"/>
            <w:vAlign w:val="center"/>
          </w:tcPr>
          <w:p>
            <w:pPr>
              <w:autoSpaceDE w:val="0"/>
              <w:autoSpaceDN w:val="0"/>
              <w:adjustRightInd w:val="0"/>
              <w:jc w:val="center"/>
              <w:rPr>
                <w:rFonts w:hint="eastAsia" w:ascii="宋体" w:hAnsi="宋体"/>
                <w:sz w:val="18"/>
                <w:szCs w:val="18"/>
              </w:rPr>
            </w:pPr>
          </w:p>
        </w:tc>
        <w:tc>
          <w:tcPr>
            <w:tcW w:w="1581"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对基准</w:t>
            </w:r>
            <w:r>
              <w:rPr>
                <w:rFonts w:hint="eastAsia" w:ascii="宋体" w:hAnsi="宋体"/>
                <w:i/>
                <w:iCs/>
                <w:sz w:val="18"/>
                <w:szCs w:val="18"/>
              </w:rPr>
              <w:t xml:space="preserve">A </w:t>
            </w:r>
            <w:r>
              <w:rPr>
                <w:rFonts w:hint="eastAsia" w:ascii="宋体" w:hAnsi="宋体"/>
                <w:sz w:val="18"/>
                <w:szCs w:val="18"/>
              </w:rPr>
              <w:t>的对称度公差</w:t>
            </w:r>
            <w:r>
              <w:rPr>
                <w:rFonts w:hint="eastAsia" w:ascii="宋体" w:hAnsi="宋体"/>
                <w:i/>
                <w:iCs/>
                <w:sz w:val="18"/>
                <w:szCs w:val="18"/>
              </w:rPr>
              <w:t>t</w:t>
            </w:r>
            <w:r>
              <w:rPr>
                <w:rFonts w:hint="eastAsia" w:ascii="宋体" w:hAnsi="宋体"/>
                <w:sz w:val="18"/>
                <w:szCs w:val="18"/>
                <w:vertAlign w:val="subscript"/>
              </w:rPr>
              <w:t>2</w:t>
            </w:r>
            <w:r>
              <w:rPr>
                <w:rFonts w:hint="eastAsia" w:ascii="宋体" w:hAnsi="宋体"/>
                <w:sz w:val="18"/>
                <w:szCs w:val="18"/>
              </w:rPr>
              <w:t>（≤）  mm</w:t>
            </w:r>
          </w:p>
        </w:tc>
        <w:tc>
          <w:tcPr>
            <w:tcW w:w="2677"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continue"/>
            <w:noWrap w:val="0"/>
            <w:vAlign w:val="center"/>
          </w:tcPr>
          <w:p>
            <w:pPr>
              <w:autoSpaceDE w:val="0"/>
              <w:autoSpaceDN w:val="0"/>
              <w:adjustRightInd w:val="0"/>
              <w:jc w:val="center"/>
              <w:rPr>
                <w:rFonts w:hint="eastAsia" w:ascii="宋体" w:hAnsi="宋体"/>
                <w:sz w:val="18"/>
                <w:szCs w:val="18"/>
              </w:rPr>
            </w:pPr>
          </w:p>
        </w:tc>
        <w:tc>
          <w:tcPr>
            <w:tcW w:w="1581" w:type="pct"/>
            <w:noWrap w:val="0"/>
            <w:vAlign w:val="center"/>
          </w:tcPr>
          <w:p>
            <w:pPr>
              <w:autoSpaceDE w:val="0"/>
              <w:autoSpaceDN w:val="0"/>
              <w:adjustRightInd w:val="0"/>
              <w:jc w:val="left"/>
              <w:rPr>
                <w:rFonts w:hint="eastAsia" w:ascii="宋体" w:hAnsi="宋体" w:eastAsia="宋体"/>
                <w:sz w:val="18"/>
                <w:szCs w:val="18"/>
                <w:lang w:val="en-US" w:eastAsia="zh-CN"/>
              </w:rPr>
            </w:pPr>
            <w:r>
              <w:rPr>
                <w:rFonts w:hint="eastAsia" w:ascii="宋体" w:hAnsi="宋体"/>
                <w:sz w:val="18"/>
                <w:szCs w:val="18"/>
              </w:rPr>
              <w:t>公差</w:t>
            </w:r>
            <w:r>
              <w:rPr>
                <w:rFonts w:hint="eastAsia" w:ascii="宋体" w:hAnsi="宋体"/>
                <w:sz w:val="18"/>
                <w:szCs w:val="18"/>
                <w:lang w:val="en-US" w:eastAsia="zh-CN"/>
              </w:rPr>
              <w:t>带</w:t>
            </w:r>
          </w:p>
        </w:tc>
        <w:tc>
          <w:tcPr>
            <w:tcW w:w="2677" w:type="pct"/>
            <w:noWrap w:val="0"/>
            <w:vAlign w:val="center"/>
          </w:tcPr>
          <w:p>
            <w:pPr>
              <w:autoSpaceDE w:val="0"/>
              <w:autoSpaceDN w:val="0"/>
              <w:adjustRightInd w:val="0"/>
              <w:jc w:val="left"/>
              <w:rPr>
                <w:rFonts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E8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restar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尺寸</w:t>
            </w:r>
            <w:r>
              <w:rPr>
                <w:rFonts w:hint="eastAsia" w:ascii="宋体" w:hAnsi="宋体"/>
                <w:i/>
                <w:iCs/>
                <w:sz w:val="18"/>
                <w:szCs w:val="18"/>
              </w:rPr>
              <w:t>b</w:t>
            </w:r>
            <w:r>
              <w:rPr>
                <w:rFonts w:hint="eastAsia" w:ascii="宋体" w:hAnsi="宋体"/>
                <w:sz w:val="18"/>
                <w:szCs w:val="18"/>
                <w:vertAlign w:val="subscript"/>
              </w:rPr>
              <w:t>3</w:t>
            </w:r>
            <w:r>
              <w:rPr>
                <w:rFonts w:hint="eastAsia" w:ascii="宋体" w:hAnsi="宋体"/>
                <w:sz w:val="18"/>
                <w:szCs w:val="18"/>
              </w:rPr>
              <w:t>侧面</w:t>
            </w:r>
          </w:p>
        </w:tc>
        <w:tc>
          <w:tcPr>
            <w:tcW w:w="1581" w:type="pct"/>
            <w:noWrap w:val="0"/>
            <w:vAlign w:val="center"/>
          </w:tcPr>
          <w:p>
            <w:pPr>
              <w:autoSpaceDE w:val="0"/>
              <w:autoSpaceDN w:val="0"/>
              <w:adjustRightInd w:val="0"/>
              <w:jc w:val="left"/>
              <w:rPr>
                <w:rFonts w:ascii="宋体" w:hAnsi="宋体"/>
                <w:sz w:val="18"/>
                <w:szCs w:val="18"/>
              </w:rPr>
            </w:pPr>
            <w:r>
              <w:rPr>
                <w:rFonts w:hint="eastAsia" w:ascii="宋体" w:hAnsi="宋体"/>
                <w:sz w:val="18"/>
                <w:szCs w:val="18"/>
              </w:rPr>
              <w:t>表面粗糙度</w:t>
            </w:r>
            <w:r>
              <w:rPr>
                <w:rFonts w:ascii="宋体" w:hAnsi="宋体"/>
                <w:i/>
                <w:iCs/>
                <w:sz w:val="18"/>
                <w:szCs w:val="18"/>
              </w:rPr>
              <w:t>Ra</w:t>
            </w:r>
            <w:r>
              <w:rPr>
                <w:rFonts w:hint="eastAsia" w:ascii="宋体" w:hAnsi="宋体"/>
                <w:i/>
                <w:iCs/>
                <w:sz w:val="18"/>
                <w:szCs w:val="18"/>
              </w:rPr>
              <w:t xml:space="preserve"> </w:t>
            </w:r>
            <w:r>
              <w:rPr>
                <w:rFonts w:hint="eastAsia" w:ascii="宋体" w:hAnsi="宋体"/>
                <w:sz w:val="18"/>
                <w:szCs w:val="18"/>
              </w:rPr>
              <w:t>最大允许值</w:t>
            </w:r>
            <w:r>
              <w:rPr>
                <w:rFonts w:hint="eastAsia" w:ascii="宋体" w:hAnsi="宋体"/>
                <w:i/>
                <w:iCs/>
                <w:sz w:val="18"/>
                <w:szCs w:val="18"/>
              </w:rPr>
              <w:t>a</w:t>
            </w:r>
            <w:r>
              <w:rPr>
                <w:rFonts w:hint="eastAsia" w:ascii="宋体" w:hAnsi="宋体"/>
                <w:sz w:val="18"/>
                <w:szCs w:val="18"/>
                <w:vertAlign w:val="subscript"/>
              </w:rPr>
              <w:t>4</w:t>
            </w:r>
            <w:r>
              <w:rPr>
                <w:rFonts w:hint="eastAsia" w:ascii="宋体" w:hAnsi="宋体" w:cs="宋体"/>
                <w:sz w:val="18"/>
                <w:szCs w:val="18"/>
              </w:rPr>
              <w:t xml:space="preserve">  μm</w:t>
            </w:r>
          </w:p>
        </w:tc>
        <w:tc>
          <w:tcPr>
            <w:tcW w:w="2677"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continue"/>
            <w:noWrap w:val="0"/>
            <w:vAlign w:val="center"/>
          </w:tcPr>
          <w:p>
            <w:pPr>
              <w:autoSpaceDE w:val="0"/>
              <w:autoSpaceDN w:val="0"/>
              <w:adjustRightInd w:val="0"/>
              <w:jc w:val="center"/>
              <w:rPr>
                <w:rFonts w:hint="eastAsia" w:ascii="宋体" w:hAnsi="宋体"/>
                <w:sz w:val="18"/>
                <w:szCs w:val="18"/>
              </w:rPr>
            </w:pPr>
          </w:p>
        </w:tc>
        <w:tc>
          <w:tcPr>
            <w:tcW w:w="1581"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对基准</w:t>
            </w:r>
            <w:r>
              <w:rPr>
                <w:rFonts w:hint="eastAsia" w:ascii="宋体" w:hAnsi="宋体"/>
                <w:i/>
                <w:iCs/>
                <w:sz w:val="18"/>
                <w:szCs w:val="18"/>
              </w:rPr>
              <w:t xml:space="preserve">B </w:t>
            </w:r>
            <w:r>
              <w:rPr>
                <w:rFonts w:hint="eastAsia" w:ascii="宋体" w:hAnsi="宋体"/>
                <w:sz w:val="18"/>
                <w:szCs w:val="18"/>
              </w:rPr>
              <w:t>的对称度公差</w:t>
            </w:r>
            <w:r>
              <w:rPr>
                <w:rFonts w:hint="eastAsia" w:ascii="宋体" w:hAnsi="宋体"/>
                <w:i/>
                <w:iCs/>
                <w:sz w:val="18"/>
                <w:szCs w:val="18"/>
              </w:rPr>
              <w:t>t</w:t>
            </w:r>
            <w:r>
              <w:rPr>
                <w:rFonts w:hint="eastAsia" w:ascii="宋体" w:hAnsi="宋体"/>
                <w:sz w:val="18"/>
                <w:szCs w:val="18"/>
                <w:vertAlign w:val="subscript"/>
              </w:rPr>
              <w:t>3</w:t>
            </w:r>
            <w:r>
              <w:rPr>
                <w:rFonts w:hint="eastAsia" w:ascii="宋体" w:hAnsi="宋体"/>
                <w:sz w:val="18"/>
                <w:szCs w:val="18"/>
              </w:rPr>
              <w:t>（≤）  mm</w:t>
            </w:r>
          </w:p>
        </w:tc>
        <w:tc>
          <w:tcPr>
            <w:tcW w:w="2677"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 w:hRule="atLeast"/>
          <w:jc w:val="center"/>
        </w:trPr>
        <w:tc>
          <w:tcPr>
            <w:tcW w:w="740" w:type="pct"/>
            <w:vMerge w:val="continue"/>
            <w:noWrap w:val="0"/>
            <w:vAlign w:val="center"/>
          </w:tcPr>
          <w:p>
            <w:pPr>
              <w:autoSpaceDE w:val="0"/>
              <w:autoSpaceDN w:val="0"/>
              <w:adjustRightInd w:val="0"/>
              <w:jc w:val="center"/>
              <w:rPr>
                <w:rFonts w:hint="eastAsia" w:ascii="宋体" w:hAnsi="宋体"/>
                <w:sz w:val="18"/>
                <w:szCs w:val="18"/>
              </w:rPr>
            </w:pPr>
          </w:p>
        </w:tc>
        <w:tc>
          <w:tcPr>
            <w:tcW w:w="1581" w:type="pct"/>
            <w:noWrap w:val="0"/>
            <w:vAlign w:val="center"/>
          </w:tcPr>
          <w:p>
            <w:pPr>
              <w:autoSpaceDE w:val="0"/>
              <w:autoSpaceDN w:val="0"/>
              <w:adjustRightInd w:val="0"/>
              <w:jc w:val="left"/>
              <w:rPr>
                <w:rFonts w:hint="eastAsia" w:ascii="宋体" w:hAnsi="宋体"/>
                <w:sz w:val="18"/>
                <w:szCs w:val="18"/>
              </w:rPr>
            </w:pPr>
            <w:r>
              <w:rPr>
                <w:rFonts w:hint="eastAsia" w:ascii="宋体" w:hAnsi="宋体"/>
                <w:sz w:val="18"/>
                <w:szCs w:val="18"/>
              </w:rPr>
              <w:t>公差带</w:t>
            </w:r>
          </w:p>
        </w:tc>
        <w:tc>
          <w:tcPr>
            <w:tcW w:w="2677" w:type="pct"/>
            <w:noWrap w:val="0"/>
            <w:vAlign w:val="center"/>
          </w:tcPr>
          <w:p>
            <w:pPr>
              <w:autoSpaceDE w:val="0"/>
              <w:autoSpaceDN w:val="0"/>
              <w:adjustRightInd w:val="0"/>
              <w:jc w:val="left"/>
              <w:rPr>
                <w:rFonts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e8</w:t>
            </w:r>
          </w:p>
        </w:tc>
      </w:tr>
    </w:tbl>
    <w:p>
      <w:pPr>
        <w:pStyle w:val="43"/>
        <w:ind w:left="0"/>
        <w:jc w:val="both"/>
        <w:outlineLvl w:val="1"/>
        <w:rPr>
          <w:rFonts w:hint="eastAsia" w:ascii="宋体" w:hAnsi="宋体" w:cs="Arial"/>
        </w:rPr>
      </w:pPr>
      <w:r>
        <w:rPr>
          <w:rFonts w:hint="eastAsia" w:hAnsi="宋体" w:cs="Arial"/>
        </w:rPr>
        <w:t>装配技术要求</w:t>
      </w:r>
      <w:bookmarkEnd w:id="85"/>
    </w:p>
    <w:p>
      <w:pPr>
        <w:pStyle w:val="47"/>
        <w:spacing w:before="0" w:beforeLines="0" w:after="0" w:afterLines="0"/>
        <w:ind w:left="0"/>
        <w:rPr>
          <w:rFonts w:hint="eastAsia" w:ascii="宋体" w:hAnsi="宋体" w:eastAsia="宋体" w:cs="宋体"/>
        </w:rPr>
      </w:pPr>
      <w:r>
        <w:rPr>
          <w:rFonts w:hint="eastAsia" w:ascii="宋体" w:hAnsi="宋体" w:eastAsia="宋体" w:cs="宋体"/>
        </w:rPr>
        <w:t>输送辊道装配应按图样、技术文件、装配工艺进行，</w:t>
      </w:r>
      <w:r>
        <w:rPr>
          <w:rFonts w:hint="eastAsia" w:ascii="宋体" w:hAnsi="宋体" w:eastAsia="宋体"/>
        </w:rPr>
        <w:t>所有进入装配的零部件应按GB/T 37400.1检验后方可进行装配。</w:t>
      </w:r>
    </w:p>
    <w:p>
      <w:pPr>
        <w:pStyle w:val="47"/>
        <w:spacing w:before="0" w:beforeLines="0" w:after="0" w:afterLines="0"/>
        <w:ind w:left="0"/>
        <w:rPr>
          <w:rFonts w:hint="eastAsia"/>
        </w:rPr>
      </w:pPr>
      <w:r>
        <w:rPr>
          <w:rFonts w:hint="eastAsia" w:ascii="宋体" w:hAnsi="宋体" w:eastAsia="宋体" w:cs="宋体"/>
        </w:rPr>
        <w:t>所有高强度螺栓(8.8级或以上级别)应进行预紧，预紧力矩按GB/T 37400.10规定或根据图示要求确定，并按图示的防松措施进行施工。</w:t>
      </w:r>
    </w:p>
    <w:p>
      <w:pPr>
        <w:pStyle w:val="47"/>
        <w:spacing w:before="0" w:beforeLines="0" w:after="0" w:afterLines="0"/>
        <w:ind w:left="0"/>
        <w:rPr>
          <w:rFonts w:hint="eastAsia"/>
        </w:rPr>
      </w:pPr>
      <w:r>
        <w:rPr>
          <w:rFonts w:hint="eastAsia" w:ascii="宋体" w:hAnsi="宋体" w:eastAsia="宋体" w:cs="宋体"/>
        </w:rPr>
        <w:t>辊子装配</w:t>
      </w:r>
      <w:r>
        <w:rPr>
          <w:rFonts w:hint="eastAsia" w:ascii="宋体" w:hAnsi="宋体" w:eastAsia="宋体" w:cs="宋体"/>
          <w:lang w:val="en-US" w:eastAsia="zh-CN"/>
        </w:rPr>
        <w:t>精度</w:t>
      </w:r>
      <w:r>
        <w:rPr>
          <w:rFonts w:hint="eastAsia" w:ascii="宋体" w:hAnsi="宋体" w:eastAsia="宋体" w:cs="宋体"/>
        </w:rPr>
        <w:t>应符合表5的规定</w:t>
      </w:r>
      <w:r>
        <w:rPr>
          <w:rFonts w:hint="eastAsia"/>
        </w:rPr>
        <w:t>。</w:t>
      </w:r>
    </w:p>
    <w:p>
      <w:pPr>
        <w:autoSpaceDE w:val="0"/>
        <w:autoSpaceDN w:val="0"/>
        <w:adjustRightInd w:val="0"/>
        <w:snapToGrid w:val="0"/>
        <w:spacing w:before="156" w:beforeLines="50" w:after="156" w:afterLines="50"/>
        <w:ind w:firstLine="420" w:firstLineChars="200"/>
        <w:jc w:val="center"/>
        <w:rPr>
          <w:rFonts w:hint="eastAsia" w:ascii="黑体" w:hAnsi="黑体" w:eastAsia="黑体" w:cs="Arial"/>
          <w:lang w:eastAsia="zh-CN"/>
        </w:rPr>
      </w:pPr>
      <w:r>
        <w:rPr>
          <w:rFonts w:hint="eastAsia" w:ascii="黑体" w:hAnsi="黑体" w:eastAsia="黑体" w:cs="Arial"/>
        </w:rPr>
        <w:t>表</w:t>
      </w:r>
      <w:r>
        <w:rPr>
          <w:rFonts w:ascii="黑体" w:hAnsi="黑体" w:eastAsia="黑体" w:cs="Arial"/>
        </w:rPr>
        <w:t>5</w:t>
      </w:r>
      <w:r>
        <w:rPr>
          <w:rFonts w:hint="eastAsia" w:ascii="黑体" w:hAnsi="黑体" w:eastAsia="黑体" w:cs="Arial"/>
        </w:rPr>
        <w:t xml:space="preserve">  辊子装配</w:t>
      </w:r>
      <w:r>
        <w:rPr>
          <w:rFonts w:hint="eastAsia" w:ascii="黑体" w:hAnsi="黑体" w:eastAsia="黑体" w:cs="Arial"/>
          <w:lang w:val="en-US" w:eastAsia="zh-CN"/>
        </w:rPr>
        <w:t>精度</w:t>
      </w:r>
    </w:p>
    <w:tbl>
      <w:tblPr>
        <w:tblStyle w:val="32"/>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9"/>
        <w:gridCol w:w="4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0"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项目</w:t>
            </w:r>
          </w:p>
        </w:tc>
        <w:tc>
          <w:tcPr>
            <w:tcW w:w="2599"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lang w:val="en-US" w:eastAsia="zh-CN"/>
              </w:rPr>
              <w:t>要求值</w:t>
            </w:r>
            <w:r>
              <w:rPr>
                <w:rFonts w:hint="eastAsia" w:ascii="宋体" w:hAnsi="宋体"/>
                <w:sz w:val="18"/>
                <w:szCs w:val="18"/>
              </w:rPr>
              <w:t xml:space="preserve">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0"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辊子水平度</w:t>
            </w:r>
            <w:r>
              <w:rPr>
                <w:rFonts w:hint="eastAsia" w:ascii="宋体" w:hAnsi="宋体"/>
                <w:sz w:val="18"/>
                <w:szCs w:val="18"/>
                <w:lang w:val="en-US" w:eastAsia="zh-CN"/>
              </w:rPr>
              <w:t>公差</w:t>
            </w:r>
          </w:p>
        </w:tc>
        <w:tc>
          <w:tcPr>
            <w:tcW w:w="2599"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0.1/1</w:t>
            </w:r>
            <w:r>
              <w:rPr>
                <w:rFonts w:hint="eastAsia" w:ascii="宋体" w:hAnsi="宋体"/>
                <w:sz w:val="18"/>
                <w:szCs w:val="18"/>
                <w:lang w:val="en-US" w:eastAsia="zh-CN"/>
              </w:rPr>
              <w:t xml:space="preserve"> </w:t>
            </w:r>
            <w:r>
              <w:rPr>
                <w:rFonts w:hint="eastAsia" w:ascii="宋体" w:hAnsi="宋体"/>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2400" w:type="pct"/>
            <w:noWrap w:val="0"/>
            <w:vAlign w:val="center"/>
          </w:tcPr>
          <w:p>
            <w:pPr>
              <w:autoSpaceDE w:val="0"/>
              <w:autoSpaceDN w:val="0"/>
              <w:adjustRightInd w:val="0"/>
              <w:jc w:val="center"/>
              <w:rPr>
                <w:rFonts w:hint="eastAsia" w:ascii="宋体" w:hAnsi="宋体" w:eastAsia="宋体"/>
                <w:sz w:val="18"/>
                <w:szCs w:val="18"/>
                <w:lang w:eastAsia="zh-CN"/>
              </w:rPr>
            </w:pPr>
            <w:r>
              <w:rPr>
                <w:rFonts w:hint="eastAsia" w:ascii="宋体" w:hAnsi="宋体"/>
                <w:sz w:val="18"/>
                <w:szCs w:val="18"/>
              </w:rPr>
              <w:t>相邻辊子平行度</w:t>
            </w:r>
            <w:r>
              <w:rPr>
                <w:rFonts w:hint="eastAsia" w:ascii="宋体" w:hAnsi="宋体"/>
                <w:sz w:val="18"/>
                <w:lang w:eastAsia="zh-CN"/>
              </w:rPr>
              <w:t>公差</w:t>
            </w:r>
          </w:p>
        </w:tc>
        <w:tc>
          <w:tcPr>
            <w:tcW w:w="2599"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0.2/全长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2400" w:type="pct"/>
            <w:noWrap w:val="0"/>
            <w:vAlign w:val="center"/>
          </w:tcPr>
          <w:p>
            <w:pPr>
              <w:autoSpaceDE w:val="0"/>
              <w:autoSpaceDN w:val="0"/>
              <w:adjustRightInd w:val="0"/>
              <w:jc w:val="center"/>
              <w:rPr>
                <w:rFonts w:hint="default" w:ascii="宋体" w:hAnsi="宋体" w:eastAsia="宋体"/>
                <w:sz w:val="18"/>
                <w:szCs w:val="18"/>
                <w:lang w:val="en-US" w:eastAsia="zh-CN"/>
              </w:rPr>
            </w:pPr>
            <w:r>
              <w:rPr>
                <w:rFonts w:hint="eastAsia" w:ascii="宋体" w:hAnsi="宋体"/>
                <w:sz w:val="18"/>
                <w:szCs w:val="18"/>
              </w:rPr>
              <w:t>相邻辊子</w:t>
            </w:r>
            <w:r>
              <w:rPr>
                <w:rFonts w:hint="eastAsia" w:ascii="宋体" w:hAnsi="宋体"/>
                <w:sz w:val="18"/>
                <w:szCs w:val="18"/>
                <w:lang w:val="en-US" w:eastAsia="zh-CN"/>
              </w:rPr>
              <w:t>平面高度</w:t>
            </w:r>
            <w:bookmarkStart w:id="87" w:name="_GoBack"/>
            <w:bookmarkEnd w:id="87"/>
            <w:r>
              <w:rPr>
                <w:rFonts w:hint="eastAsia" w:ascii="宋体" w:hAnsi="宋体"/>
                <w:sz w:val="18"/>
                <w:szCs w:val="18"/>
                <w:lang w:val="en-US" w:eastAsia="zh-CN"/>
              </w:rPr>
              <w:t>极限偏差</w:t>
            </w:r>
          </w:p>
        </w:tc>
        <w:tc>
          <w:tcPr>
            <w:tcW w:w="2599"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±0.2</w:t>
            </w:r>
          </w:p>
        </w:tc>
      </w:tr>
      <w:bookmarkEnd w:id="83"/>
      <w:bookmarkEnd w:id="84"/>
    </w:tbl>
    <w:p>
      <w:pPr>
        <w:pStyle w:val="43"/>
        <w:ind w:left="0"/>
        <w:rPr>
          <w:rFonts w:hint="eastAsia"/>
        </w:rPr>
      </w:pPr>
      <w:bookmarkStart w:id="86" w:name="_Toc61356326"/>
      <w:r>
        <w:rPr>
          <w:rFonts w:hint="eastAsia"/>
        </w:rPr>
        <w:t xml:space="preserve"> 冷却、润滑技术要求</w:t>
      </w:r>
    </w:p>
    <w:p>
      <w:pPr>
        <w:pStyle w:val="43"/>
        <w:numPr>
          <w:ilvl w:val="0"/>
          <w:numId w:val="0"/>
        </w:numPr>
        <w:ind w:firstLine="420" w:firstLineChars="200"/>
      </w:pPr>
      <w:r>
        <w:rPr>
          <w:rFonts w:hint="eastAsia" w:ascii="宋体" w:eastAsia="宋体"/>
          <w:szCs w:val="20"/>
        </w:rPr>
        <w:t>输送辊道采用乳化液冷却和润滑。</w:t>
      </w:r>
    </w:p>
    <w:p>
      <w:pPr>
        <w:pStyle w:val="46"/>
        <w:rPr>
          <w:rFonts w:hint="eastAsia"/>
        </w:rPr>
      </w:pPr>
      <w:r>
        <w:rPr>
          <w:rFonts w:hint="eastAsia"/>
        </w:rPr>
        <w:t>试验</w:t>
      </w:r>
      <w:r>
        <w:t>方法</w:t>
      </w:r>
      <w:bookmarkEnd w:id="86"/>
    </w:p>
    <w:p>
      <w:pPr>
        <w:pStyle w:val="23"/>
        <w:ind w:firstLine="0" w:firstLineChars="0"/>
        <w:rPr>
          <w:rFonts w:hint="eastAsia"/>
        </w:rPr>
      </w:pPr>
      <w:r>
        <w:rPr>
          <w:rFonts w:hint="eastAsia" w:ascii="黑体" w:hAnsi="黑体" w:eastAsia="黑体" w:cs="黑体"/>
        </w:rPr>
        <w:t>7.1</w:t>
      </w:r>
      <w:r>
        <w:rPr>
          <w:rFonts w:hint="eastAsia"/>
        </w:rPr>
        <w:t xml:space="preserve">  输送辊道</w:t>
      </w:r>
      <w:r>
        <w:rPr>
          <w:rFonts w:hint="eastAsia"/>
          <w:lang w:eastAsia="zh-CN"/>
        </w:rPr>
        <w:t>试验</w:t>
      </w:r>
      <w:r>
        <w:rPr>
          <w:rFonts w:hint="eastAsia"/>
        </w:rPr>
        <w:t>通常宜在安装现场进行。</w:t>
      </w:r>
      <w:r>
        <w:rPr>
          <w:rFonts w:hint="eastAsia"/>
          <w:lang w:eastAsia="zh-CN"/>
        </w:rPr>
        <w:t>试验</w:t>
      </w:r>
      <w:r>
        <w:rPr>
          <w:rFonts w:hint="eastAsia"/>
        </w:rPr>
        <w:t>宜遵循先空负荷单机</w:t>
      </w:r>
      <w:r>
        <w:rPr>
          <w:rFonts w:hint="eastAsia"/>
          <w:lang w:eastAsia="zh-CN"/>
        </w:rPr>
        <w:t>试验</w:t>
      </w:r>
      <w:r>
        <w:rPr>
          <w:rFonts w:hint="eastAsia"/>
        </w:rPr>
        <w:t>，再空负荷联动</w:t>
      </w:r>
      <w:r>
        <w:rPr>
          <w:rFonts w:hint="eastAsia"/>
          <w:lang w:eastAsia="zh-CN"/>
        </w:rPr>
        <w:t>试验</w:t>
      </w:r>
      <w:r>
        <w:rPr>
          <w:rFonts w:hint="eastAsia"/>
        </w:rPr>
        <w:t>，再负荷</w:t>
      </w:r>
      <w:r>
        <w:rPr>
          <w:rFonts w:hint="eastAsia"/>
          <w:lang w:eastAsia="zh-CN"/>
        </w:rPr>
        <w:t>试验</w:t>
      </w:r>
      <w:r>
        <w:rPr>
          <w:rFonts w:hint="eastAsia"/>
        </w:rPr>
        <w:t>，最后试生产的原则。</w:t>
      </w:r>
    </w:p>
    <w:p>
      <w:pPr>
        <w:pStyle w:val="23"/>
        <w:rPr>
          <w:rFonts w:hint="eastAsia"/>
        </w:rPr>
      </w:pPr>
      <w:r>
        <w:rPr>
          <w:rFonts w:hint="eastAsia"/>
        </w:rPr>
        <w:t>空负荷试运行应在设备安装验收合格后进行，同时应具备且不限于以下条件：</w:t>
      </w:r>
    </w:p>
    <w:p>
      <w:pPr>
        <w:pStyle w:val="23"/>
        <w:rPr>
          <w:rFonts w:hint="eastAsia"/>
        </w:rPr>
      </w:pPr>
      <w:r>
        <w:rPr>
          <w:rFonts w:hint="eastAsia"/>
        </w:rPr>
        <w:t>——设备润滑系统运行正常，润滑点润滑情况确认工作已完成；</w:t>
      </w:r>
    </w:p>
    <w:p>
      <w:pPr>
        <w:pStyle w:val="23"/>
        <w:rPr>
          <w:rFonts w:hint="eastAsia"/>
        </w:rPr>
      </w:pPr>
      <w:r>
        <w:rPr>
          <w:rFonts w:hint="eastAsia"/>
        </w:rPr>
        <w:t>——设备供电系统满足</w:t>
      </w:r>
      <w:r>
        <w:rPr>
          <w:rFonts w:hint="eastAsia"/>
          <w:lang w:eastAsia="zh-CN"/>
        </w:rPr>
        <w:t>试验</w:t>
      </w:r>
      <w:r>
        <w:rPr>
          <w:rFonts w:hint="eastAsia"/>
        </w:rPr>
        <w:t>条件。</w:t>
      </w:r>
    </w:p>
    <w:p>
      <w:pPr>
        <w:pStyle w:val="23"/>
        <w:ind w:firstLine="0" w:firstLineChars="0"/>
        <w:rPr>
          <w:rFonts w:hint="eastAsia"/>
        </w:rPr>
      </w:pPr>
      <w:r>
        <w:rPr>
          <w:rFonts w:hint="eastAsia" w:ascii="黑体" w:hAnsi="黑体" w:eastAsia="黑体" w:cs="黑体"/>
        </w:rPr>
        <w:t xml:space="preserve">7.2 </w:t>
      </w:r>
      <w:r>
        <w:rPr>
          <w:rFonts w:hint="eastAsia"/>
        </w:rPr>
        <w:t xml:space="preserve"> 空负荷单机</w:t>
      </w:r>
      <w:r>
        <w:rPr>
          <w:rFonts w:hint="eastAsia"/>
          <w:lang w:eastAsia="zh-CN"/>
        </w:rPr>
        <w:t>试验</w:t>
      </w:r>
      <w:r>
        <w:rPr>
          <w:rFonts w:hint="eastAsia"/>
        </w:rPr>
        <w:t>在电机额定转速下正反转运行各2</w:t>
      </w:r>
      <w:r>
        <w:rPr>
          <w:rFonts w:hint="eastAsia"/>
          <w:lang w:val="en-US" w:eastAsia="zh-CN"/>
        </w:rPr>
        <w:t>h</w:t>
      </w:r>
      <w:r>
        <w:rPr>
          <w:rFonts w:hint="eastAsia"/>
        </w:rPr>
        <w:t>，验证辊道运行是否平稳有无异响和卡碰现象。辊道额定转速运行正常后可进行电机最高速</w:t>
      </w:r>
      <w:r>
        <w:rPr>
          <w:rFonts w:hint="eastAsia"/>
          <w:lang w:eastAsia="zh-CN"/>
        </w:rPr>
        <w:t>试验</w:t>
      </w:r>
      <w:r>
        <w:rPr>
          <w:rFonts w:hint="eastAsia"/>
        </w:rPr>
        <w:t>。</w:t>
      </w:r>
    </w:p>
    <w:p>
      <w:pPr>
        <w:pStyle w:val="23"/>
        <w:ind w:firstLine="0" w:firstLineChars="0"/>
        <w:rPr>
          <w:rFonts w:hint="eastAsia"/>
        </w:rPr>
      </w:pPr>
      <w:r>
        <w:rPr>
          <w:rFonts w:hint="eastAsia" w:ascii="黑体" w:hAnsi="黑体" w:eastAsia="黑体" w:cs="黑体"/>
        </w:rPr>
        <w:t>7.3</w:t>
      </w:r>
      <w:r>
        <w:rPr>
          <w:rFonts w:hint="eastAsia"/>
        </w:rPr>
        <w:t xml:space="preserve">  空负荷联动</w:t>
      </w:r>
      <w:r>
        <w:rPr>
          <w:rFonts w:hint="eastAsia"/>
          <w:lang w:eastAsia="zh-CN"/>
        </w:rPr>
        <w:t>试验</w:t>
      </w:r>
      <w:r>
        <w:rPr>
          <w:rFonts w:hint="eastAsia"/>
        </w:rPr>
        <w:t>按相关设计文件的规定进行，连续操作运转3次，一般每次不超过30</w:t>
      </w:r>
      <w:r>
        <w:rPr>
          <w:rFonts w:hint="eastAsia"/>
          <w:lang w:val="en-US" w:eastAsia="zh-CN"/>
        </w:rPr>
        <w:t>min</w:t>
      </w:r>
      <w:r>
        <w:rPr>
          <w:rFonts w:hint="eastAsia"/>
        </w:rPr>
        <w:t>。</w:t>
      </w:r>
    </w:p>
    <w:p>
      <w:pPr>
        <w:pStyle w:val="23"/>
        <w:ind w:firstLine="0" w:firstLineChars="0"/>
      </w:pPr>
      <w:r>
        <w:rPr>
          <w:rFonts w:hint="eastAsia" w:ascii="黑体" w:hAnsi="黑体" w:eastAsia="黑体" w:cs="黑体"/>
        </w:rPr>
        <w:t>7.4</w:t>
      </w:r>
      <w:r>
        <w:rPr>
          <w:rFonts w:hint="eastAsia"/>
        </w:rPr>
        <w:t xml:space="preserve">  负荷</w:t>
      </w:r>
      <w:r>
        <w:rPr>
          <w:rFonts w:hint="eastAsia"/>
          <w:lang w:eastAsia="zh-CN"/>
        </w:rPr>
        <w:t>试验</w:t>
      </w:r>
      <w:r>
        <w:rPr>
          <w:rFonts w:hint="eastAsia"/>
        </w:rPr>
        <w:t>坯料规格应在技术规格书中规定的坯料规格范围内。</w:t>
      </w:r>
    </w:p>
    <w:p>
      <w:pPr>
        <w:pStyle w:val="23"/>
      </w:pPr>
    </w:p>
    <w:p>
      <w:pPr>
        <w:pStyle w:val="23"/>
        <w:rPr>
          <w:szCs w:val="21"/>
          <w:u w:val="thick"/>
        </w:rPr>
      </w:pPr>
    </w:p>
    <w:p>
      <w:pPr>
        <w:pStyle w:val="130"/>
        <w:framePr w:wrap="around" w:vAnchor="text" w:hAnchor="page" w:x="4672" w:y="989"/>
      </w:pPr>
      <w:r>
        <w:t>_________________________________</w:t>
      </w:r>
    </w:p>
    <w:p>
      <w:pPr>
        <w:pStyle w:val="23"/>
      </w:pPr>
    </w:p>
    <w:sectPr>
      <w:headerReference r:id="rId11" w:type="default"/>
      <w:footerReference r:id="rId13" w:type="default"/>
      <w:headerReference r:id="rId12" w:type="even"/>
      <w:footerReference r:id="rId14" w:type="even"/>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page" w:x="10336" w:y="29"/>
      <w:rPr>
        <w:rStyle w:val="36"/>
      </w:rPr>
    </w:pPr>
    <w:r>
      <w:rPr>
        <w:rStyle w:val="36"/>
      </w:rPr>
      <w:fldChar w:fldCharType="begin"/>
    </w:r>
    <w:r>
      <w:rPr>
        <w:rStyle w:val="36"/>
      </w:rPr>
      <w:instrText xml:space="preserve">PAGE  </w:instrText>
    </w:r>
    <w:r>
      <w:rPr>
        <w:rStyle w:val="36"/>
      </w:rPr>
      <w:fldChar w:fldCharType="separate"/>
    </w:r>
    <w:r>
      <w:rPr>
        <w:rStyle w:val="36"/>
      </w:rPr>
      <w:t>5</w:t>
    </w:r>
    <w:r>
      <w:rPr>
        <w:rStyle w:val="36"/>
      </w:rPr>
      <w:fldChar w:fldCharType="end"/>
    </w:r>
  </w:p>
  <w:p>
    <w:pPr>
      <w:pStyle w:val="17"/>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outside" w:y="1"/>
      <w:rPr>
        <w:rStyle w:val="36"/>
      </w:rPr>
    </w:pPr>
    <w:r>
      <w:rPr>
        <w:rStyle w:val="36"/>
      </w:rPr>
      <w:fldChar w:fldCharType="begin"/>
    </w:r>
    <w:r>
      <w:rPr>
        <w:rStyle w:val="36"/>
      </w:rPr>
      <w:instrText xml:space="preserve">PAGE  </w:instrText>
    </w:r>
    <w:r>
      <w:rPr>
        <w:rStyle w:val="36"/>
      </w:rPr>
      <w:fldChar w:fldCharType="separate"/>
    </w:r>
    <w:r>
      <w:rPr>
        <w:rStyle w:val="36"/>
      </w:rPr>
      <w:t>2</w:t>
    </w:r>
    <w:r>
      <w:rPr>
        <w:rStyle w:val="36"/>
      </w:rPr>
      <w:fldChar w:fldCharType="end"/>
    </w:r>
  </w:p>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JB</w:t>
    </w:r>
    <w:r>
      <w:t xml:space="preserve">/T </w:t>
    </w:r>
    <w:r>
      <w:rPr>
        <w:rFonts w:hint="eastAsia"/>
      </w:rPr>
      <w:t>XXXXX</w:t>
    </w:r>
    <w:r>
      <w:t>—</w:t>
    </w:r>
    <w:r>
      <w:rPr>
        <w:rFonts w:hint="eastAsia"/>
      </w:rPr>
      <w:t>20XX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JB</w:t>
    </w:r>
    <w:r>
      <w:t xml:space="preserve">/T </w:t>
    </w:r>
    <w:r>
      <w:rPr>
        <w:rFonts w:hint="eastAsia"/>
      </w:rPr>
      <w:t>XXXXX</w:t>
    </w:r>
    <w:r>
      <w:t>—</w:t>
    </w:r>
    <w:r>
      <w:rPr>
        <w:rFonts w:hint="eastAsia"/>
      </w:rPr>
      <w:t>20XX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wordWrap w:val="0"/>
      <w:ind w:right="420" w:firstLine="7350" w:firstLineChars="3500"/>
      <w:jc w:val="both"/>
    </w:pPr>
    <w:r>
      <w:rPr>
        <w:rFonts w:hint="eastAsia"/>
      </w:rPr>
      <w:t>JB/T 6405-201x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3"/>
      <w:suff w:val="nothing"/>
      <w:lvlText w:val="%1%2.%3　"/>
      <w:lvlJc w:val="left"/>
      <w:pPr>
        <w:ind w:left="0" w:firstLine="0"/>
      </w:pPr>
      <w:rPr>
        <w:rFonts w:hint="eastAsia" w:ascii="黑体" w:hAnsi="Times New Roman" w:eastAsia="黑体"/>
        <w:b w:val="0"/>
        <w:i w:val="0"/>
        <w:sz w:val="21"/>
      </w:rPr>
    </w:lvl>
    <w:lvl w:ilvl="3" w:tentative="0">
      <w:start w:val="1"/>
      <w:numFmt w:val="decimal"/>
      <w:pStyle w:val="139"/>
      <w:suff w:val="nothing"/>
      <w:lvlText w:val="%1%2.%3.%4　"/>
      <w:lvlJc w:val="left"/>
      <w:pPr>
        <w:ind w:left="0" w:firstLine="0"/>
      </w:pPr>
      <w:rPr>
        <w:rFonts w:hint="eastAsia" w:ascii="黑体" w:hAnsi="Times New Roman" w:eastAsia="黑体"/>
        <w:b w:val="0"/>
        <w:i w:val="0"/>
        <w:sz w:val="21"/>
      </w:rPr>
    </w:lvl>
    <w:lvl w:ilvl="4" w:tentative="0">
      <w:start w:val="1"/>
      <w:numFmt w:val="decimal"/>
      <w:pStyle w:val="140"/>
      <w:suff w:val="nothing"/>
      <w:lvlText w:val="%1%2.%3.%4.%5　"/>
      <w:lvlJc w:val="left"/>
      <w:pPr>
        <w:ind w:left="0" w:firstLine="0"/>
      </w:pPr>
      <w:rPr>
        <w:rFonts w:hint="eastAsia" w:ascii="黑体" w:hAnsi="Times New Roman" w:eastAsia="黑体"/>
        <w:b w:val="0"/>
        <w:i w:val="0"/>
        <w:sz w:val="21"/>
      </w:rPr>
    </w:lvl>
    <w:lvl w:ilvl="5" w:tentative="0">
      <w:start w:val="1"/>
      <w:numFmt w:val="decimal"/>
      <w:pStyle w:val="141"/>
      <w:suff w:val="nothing"/>
      <w:lvlText w:val="%1%2.%3.%4.%5.%6　"/>
      <w:lvlJc w:val="left"/>
      <w:pPr>
        <w:ind w:left="0" w:firstLine="0"/>
      </w:pPr>
      <w:rPr>
        <w:rFonts w:hint="eastAsia" w:ascii="黑体" w:hAnsi="Times New Roman" w:eastAsia="黑体"/>
        <w:b w:val="0"/>
        <w:i w:val="0"/>
        <w:sz w:val="21"/>
      </w:rPr>
    </w:lvl>
    <w:lvl w:ilvl="6" w:tentative="0">
      <w:start w:val="1"/>
      <w:numFmt w:val="decimal"/>
      <w:pStyle w:val="14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7"/>
      <w:suff w:val="nothing"/>
      <w:lvlText w:val="%1.%2.%3　"/>
      <w:lvlJc w:val="left"/>
      <w:pPr>
        <w:ind w:left="142" w:firstLine="0"/>
      </w:pPr>
      <w:rPr>
        <w:rFonts w:hint="eastAsia" w:ascii="黑体" w:hAnsi="Times New Roman" w:eastAsia="黑体"/>
        <w:b w:val="0"/>
        <w:i w:val="0"/>
        <w:sz w:val="21"/>
      </w:rPr>
    </w:lvl>
    <w:lvl w:ilvl="3" w:tentative="0">
      <w:start w:val="1"/>
      <w:numFmt w:val="decimal"/>
      <w:pStyle w:val="52"/>
      <w:suff w:val="nothing"/>
      <w:lvlText w:val="%1.%2.%3.%4　"/>
      <w:lvlJc w:val="left"/>
      <w:pPr>
        <w:ind w:left="4962"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tentative="0">
      <w:start w:val="1"/>
      <w:numFmt w:val="none"/>
      <w:pStyle w:val="49"/>
      <w:suff w:val="nothing"/>
      <w:lvlText w:val="%1——"/>
      <w:lvlJc w:val="left"/>
      <w:pPr>
        <w:ind w:left="833" w:hanging="408"/>
      </w:pPr>
      <w:rPr>
        <w:rFonts w:hint="eastAsia"/>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6">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pStyle w:val="6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57D3FBC"/>
    <w:multiLevelType w:val="multilevel"/>
    <w:tmpl w:val="657D3FBC"/>
    <w:lvl w:ilvl="0" w:tentative="0">
      <w:start w:val="1"/>
      <w:numFmt w:val="upperLetter"/>
      <w:pStyle w:val="8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6"/>
  </w:num>
  <w:num w:numId="5">
    <w:abstractNumId w:val="1"/>
  </w:num>
  <w:num w:numId="6">
    <w:abstractNumId w:val="8"/>
  </w:num>
  <w:num w:numId="7">
    <w:abstractNumId w:val="7"/>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removePersonalInformation/>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gyZDRlZDdhMDk1NWU0ZThkYTc0OTk3NzdlMTcxMzIifQ=="/>
  </w:docVars>
  <w:rsids>
    <w:rsidRoot w:val="00035925"/>
    <w:rsid w:val="00000244"/>
    <w:rsid w:val="0000185F"/>
    <w:rsid w:val="00005623"/>
    <w:rsid w:val="0000586F"/>
    <w:rsid w:val="00010E1D"/>
    <w:rsid w:val="00013D86"/>
    <w:rsid w:val="00013E02"/>
    <w:rsid w:val="0002143C"/>
    <w:rsid w:val="00025A65"/>
    <w:rsid w:val="00026C31"/>
    <w:rsid w:val="00027280"/>
    <w:rsid w:val="000320A7"/>
    <w:rsid w:val="00033384"/>
    <w:rsid w:val="00035925"/>
    <w:rsid w:val="000417A0"/>
    <w:rsid w:val="00045FDF"/>
    <w:rsid w:val="00067CDF"/>
    <w:rsid w:val="000732AB"/>
    <w:rsid w:val="00074FBE"/>
    <w:rsid w:val="0007534B"/>
    <w:rsid w:val="00083893"/>
    <w:rsid w:val="00083A09"/>
    <w:rsid w:val="00086E04"/>
    <w:rsid w:val="0009005E"/>
    <w:rsid w:val="00091716"/>
    <w:rsid w:val="00092857"/>
    <w:rsid w:val="00095EE9"/>
    <w:rsid w:val="00096E59"/>
    <w:rsid w:val="000A20A9"/>
    <w:rsid w:val="000A48B1"/>
    <w:rsid w:val="000A5D22"/>
    <w:rsid w:val="000B3143"/>
    <w:rsid w:val="000C1297"/>
    <w:rsid w:val="000C30AE"/>
    <w:rsid w:val="000C6B05"/>
    <w:rsid w:val="000C6DD6"/>
    <w:rsid w:val="000C73D4"/>
    <w:rsid w:val="000D3D4C"/>
    <w:rsid w:val="000D4F51"/>
    <w:rsid w:val="000D718B"/>
    <w:rsid w:val="000E0C46"/>
    <w:rsid w:val="000E2EFA"/>
    <w:rsid w:val="000E3EC3"/>
    <w:rsid w:val="000F030C"/>
    <w:rsid w:val="000F129C"/>
    <w:rsid w:val="001033F2"/>
    <w:rsid w:val="001056DE"/>
    <w:rsid w:val="001124C0"/>
    <w:rsid w:val="00127758"/>
    <w:rsid w:val="0013175F"/>
    <w:rsid w:val="00135001"/>
    <w:rsid w:val="001512B4"/>
    <w:rsid w:val="00152CFF"/>
    <w:rsid w:val="001620A5"/>
    <w:rsid w:val="00163201"/>
    <w:rsid w:val="00164E53"/>
    <w:rsid w:val="0016699D"/>
    <w:rsid w:val="001736E3"/>
    <w:rsid w:val="00175159"/>
    <w:rsid w:val="00176208"/>
    <w:rsid w:val="00181042"/>
    <w:rsid w:val="0018211B"/>
    <w:rsid w:val="001840D3"/>
    <w:rsid w:val="001900F8"/>
    <w:rsid w:val="00191258"/>
    <w:rsid w:val="00192680"/>
    <w:rsid w:val="00193037"/>
    <w:rsid w:val="00193A2C"/>
    <w:rsid w:val="001A118B"/>
    <w:rsid w:val="001A288E"/>
    <w:rsid w:val="001A5DFD"/>
    <w:rsid w:val="001B0698"/>
    <w:rsid w:val="001B1306"/>
    <w:rsid w:val="001B6DC2"/>
    <w:rsid w:val="001B79B2"/>
    <w:rsid w:val="001C085D"/>
    <w:rsid w:val="001C149C"/>
    <w:rsid w:val="001C21AC"/>
    <w:rsid w:val="001C3341"/>
    <w:rsid w:val="001C47BA"/>
    <w:rsid w:val="001C59EA"/>
    <w:rsid w:val="001C6377"/>
    <w:rsid w:val="001C7DA9"/>
    <w:rsid w:val="001D21E9"/>
    <w:rsid w:val="001D406C"/>
    <w:rsid w:val="001D41EE"/>
    <w:rsid w:val="001D4439"/>
    <w:rsid w:val="001E0380"/>
    <w:rsid w:val="001E13B1"/>
    <w:rsid w:val="001E2381"/>
    <w:rsid w:val="001F2537"/>
    <w:rsid w:val="001F3A19"/>
    <w:rsid w:val="001F7CAF"/>
    <w:rsid w:val="00201EF2"/>
    <w:rsid w:val="00204F6E"/>
    <w:rsid w:val="00210362"/>
    <w:rsid w:val="002104E5"/>
    <w:rsid w:val="00215F25"/>
    <w:rsid w:val="00234467"/>
    <w:rsid w:val="00234BBD"/>
    <w:rsid w:val="00235264"/>
    <w:rsid w:val="00237D8D"/>
    <w:rsid w:val="00241DA2"/>
    <w:rsid w:val="00247FEE"/>
    <w:rsid w:val="00250E7D"/>
    <w:rsid w:val="002565D5"/>
    <w:rsid w:val="00256C8E"/>
    <w:rsid w:val="002622C0"/>
    <w:rsid w:val="002778AE"/>
    <w:rsid w:val="0028269A"/>
    <w:rsid w:val="002827B7"/>
    <w:rsid w:val="00283590"/>
    <w:rsid w:val="00286973"/>
    <w:rsid w:val="00292D1D"/>
    <w:rsid w:val="00294E70"/>
    <w:rsid w:val="00294E7E"/>
    <w:rsid w:val="002A1924"/>
    <w:rsid w:val="002A67B1"/>
    <w:rsid w:val="002A7420"/>
    <w:rsid w:val="002B0F12"/>
    <w:rsid w:val="002B104C"/>
    <w:rsid w:val="002B1308"/>
    <w:rsid w:val="002B4554"/>
    <w:rsid w:val="002B5433"/>
    <w:rsid w:val="002C0670"/>
    <w:rsid w:val="002C4D4B"/>
    <w:rsid w:val="002C72D8"/>
    <w:rsid w:val="002C7747"/>
    <w:rsid w:val="002D11FA"/>
    <w:rsid w:val="002D5A37"/>
    <w:rsid w:val="002E0DDF"/>
    <w:rsid w:val="002E28AA"/>
    <w:rsid w:val="002E2906"/>
    <w:rsid w:val="002E5635"/>
    <w:rsid w:val="002E64C3"/>
    <w:rsid w:val="002E6A2C"/>
    <w:rsid w:val="002F1D8C"/>
    <w:rsid w:val="002F21DA"/>
    <w:rsid w:val="002F61F3"/>
    <w:rsid w:val="00301B27"/>
    <w:rsid w:val="00301F39"/>
    <w:rsid w:val="00303845"/>
    <w:rsid w:val="00304B7D"/>
    <w:rsid w:val="00306EEB"/>
    <w:rsid w:val="00322CFC"/>
    <w:rsid w:val="00325926"/>
    <w:rsid w:val="00327A8A"/>
    <w:rsid w:val="0033000E"/>
    <w:rsid w:val="003303D2"/>
    <w:rsid w:val="00331A02"/>
    <w:rsid w:val="003345C6"/>
    <w:rsid w:val="00334787"/>
    <w:rsid w:val="00336610"/>
    <w:rsid w:val="00340A9F"/>
    <w:rsid w:val="00343F73"/>
    <w:rsid w:val="00345060"/>
    <w:rsid w:val="0035323B"/>
    <w:rsid w:val="003609D2"/>
    <w:rsid w:val="00361ABA"/>
    <w:rsid w:val="00363318"/>
    <w:rsid w:val="00363F22"/>
    <w:rsid w:val="00370F48"/>
    <w:rsid w:val="00373436"/>
    <w:rsid w:val="00375564"/>
    <w:rsid w:val="00383191"/>
    <w:rsid w:val="00386DED"/>
    <w:rsid w:val="003912E7"/>
    <w:rsid w:val="00393947"/>
    <w:rsid w:val="00396AB8"/>
    <w:rsid w:val="003A2275"/>
    <w:rsid w:val="003A6A4F"/>
    <w:rsid w:val="003A7088"/>
    <w:rsid w:val="003B00DF"/>
    <w:rsid w:val="003B1275"/>
    <w:rsid w:val="003B1778"/>
    <w:rsid w:val="003B55BE"/>
    <w:rsid w:val="003C11CB"/>
    <w:rsid w:val="003C1A96"/>
    <w:rsid w:val="003C75F3"/>
    <w:rsid w:val="003C78A3"/>
    <w:rsid w:val="003D04AC"/>
    <w:rsid w:val="003E1867"/>
    <w:rsid w:val="003E2C4A"/>
    <w:rsid w:val="003E5244"/>
    <w:rsid w:val="003E5729"/>
    <w:rsid w:val="003F032F"/>
    <w:rsid w:val="003F3650"/>
    <w:rsid w:val="003F4EE0"/>
    <w:rsid w:val="00401967"/>
    <w:rsid w:val="00402153"/>
    <w:rsid w:val="00402FC1"/>
    <w:rsid w:val="00406641"/>
    <w:rsid w:val="00410946"/>
    <w:rsid w:val="004119F1"/>
    <w:rsid w:val="00422549"/>
    <w:rsid w:val="00423AB0"/>
    <w:rsid w:val="00425082"/>
    <w:rsid w:val="00431DEB"/>
    <w:rsid w:val="00442FD2"/>
    <w:rsid w:val="00443535"/>
    <w:rsid w:val="00446B29"/>
    <w:rsid w:val="00453A00"/>
    <w:rsid w:val="00453F9A"/>
    <w:rsid w:val="00457E27"/>
    <w:rsid w:val="004665FF"/>
    <w:rsid w:val="00471E91"/>
    <w:rsid w:val="00474675"/>
    <w:rsid w:val="0047470C"/>
    <w:rsid w:val="004A35F9"/>
    <w:rsid w:val="004B01DD"/>
    <w:rsid w:val="004B23C0"/>
    <w:rsid w:val="004B24C1"/>
    <w:rsid w:val="004B5405"/>
    <w:rsid w:val="004B556F"/>
    <w:rsid w:val="004B5630"/>
    <w:rsid w:val="004C292F"/>
    <w:rsid w:val="004C37BB"/>
    <w:rsid w:val="004C55E2"/>
    <w:rsid w:val="004D3920"/>
    <w:rsid w:val="004D54B0"/>
    <w:rsid w:val="004E434D"/>
    <w:rsid w:val="004E4D93"/>
    <w:rsid w:val="004F3801"/>
    <w:rsid w:val="004F6B99"/>
    <w:rsid w:val="00500C7F"/>
    <w:rsid w:val="00510280"/>
    <w:rsid w:val="00513D73"/>
    <w:rsid w:val="00514A43"/>
    <w:rsid w:val="005174E5"/>
    <w:rsid w:val="00522393"/>
    <w:rsid w:val="00522620"/>
    <w:rsid w:val="00525656"/>
    <w:rsid w:val="00526350"/>
    <w:rsid w:val="00526596"/>
    <w:rsid w:val="00534C02"/>
    <w:rsid w:val="0054264B"/>
    <w:rsid w:val="00543786"/>
    <w:rsid w:val="005466FA"/>
    <w:rsid w:val="00546C14"/>
    <w:rsid w:val="005533D7"/>
    <w:rsid w:val="00553598"/>
    <w:rsid w:val="005606C8"/>
    <w:rsid w:val="00561B69"/>
    <w:rsid w:val="0056371F"/>
    <w:rsid w:val="005703DE"/>
    <w:rsid w:val="0057458D"/>
    <w:rsid w:val="00576AE5"/>
    <w:rsid w:val="00580FF7"/>
    <w:rsid w:val="0058464E"/>
    <w:rsid w:val="005A01CB"/>
    <w:rsid w:val="005A16E7"/>
    <w:rsid w:val="005A3A6B"/>
    <w:rsid w:val="005A58FF"/>
    <w:rsid w:val="005A5EAF"/>
    <w:rsid w:val="005A64C0"/>
    <w:rsid w:val="005B0CD5"/>
    <w:rsid w:val="005B3C11"/>
    <w:rsid w:val="005B481A"/>
    <w:rsid w:val="005B69B0"/>
    <w:rsid w:val="005C1C28"/>
    <w:rsid w:val="005C6DB5"/>
    <w:rsid w:val="005E19E7"/>
    <w:rsid w:val="00603179"/>
    <w:rsid w:val="00611DEC"/>
    <w:rsid w:val="00613665"/>
    <w:rsid w:val="0061716C"/>
    <w:rsid w:val="006218F6"/>
    <w:rsid w:val="00622B27"/>
    <w:rsid w:val="006243A1"/>
    <w:rsid w:val="00632249"/>
    <w:rsid w:val="00632E56"/>
    <w:rsid w:val="006353AD"/>
    <w:rsid w:val="00635CBA"/>
    <w:rsid w:val="00637477"/>
    <w:rsid w:val="00637A97"/>
    <w:rsid w:val="0064338B"/>
    <w:rsid w:val="00646542"/>
    <w:rsid w:val="006504F4"/>
    <w:rsid w:val="006535BC"/>
    <w:rsid w:val="00654BC9"/>
    <w:rsid w:val="006552FD"/>
    <w:rsid w:val="006635D8"/>
    <w:rsid w:val="00663AF3"/>
    <w:rsid w:val="00666B6C"/>
    <w:rsid w:val="006675FB"/>
    <w:rsid w:val="006733F9"/>
    <w:rsid w:val="00673E79"/>
    <w:rsid w:val="00674AFB"/>
    <w:rsid w:val="00676831"/>
    <w:rsid w:val="00676BD9"/>
    <w:rsid w:val="00682682"/>
    <w:rsid w:val="00682702"/>
    <w:rsid w:val="00683FD4"/>
    <w:rsid w:val="00687BEA"/>
    <w:rsid w:val="00692368"/>
    <w:rsid w:val="00695ABA"/>
    <w:rsid w:val="006A2EBC"/>
    <w:rsid w:val="006A3D2A"/>
    <w:rsid w:val="006A5EA0"/>
    <w:rsid w:val="006A783B"/>
    <w:rsid w:val="006A7B33"/>
    <w:rsid w:val="006A7C28"/>
    <w:rsid w:val="006B11AB"/>
    <w:rsid w:val="006B4E13"/>
    <w:rsid w:val="006B4E8A"/>
    <w:rsid w:val="006B75DD"/>
    <w:rsid w:val="006C47FD"/>
    <w:rsid w:val="006C67E0"/>
    <w:rsid w:val="006C7ABA"/>
    <w:rsid w:val="006D0D60"/>
    <w:rsid w:val="006D1122"/>
    <w:rsid w:val="006D3C00"/>
    <w:rsid w:val="006E3675"/>
    <w:rsid w:val="006E4A7F"/>
    <w:rsid w:val="00700755"/>
    <w:rsid w:val="0070162B"/>
    <w:rsid w:val="00704DF6"/>
    <w:rsid w:val="0070651C"/>
    <w:rsid w:val="00711E5A"/>
    <w:rsid w:val="00712CC5"/>
    <w:rsid w:val="007132A3"/>
    <w:rsid w:val="00714F05"/>
    <w:rsid w:val="00716421"/>
    <w:rsid w:val="00716E7D"/>
    <w:rsid w:val="00723F5E"/>
    <w:rsid w:val="00724EFB"/>
    <w:rsid w:val="00725A05"/>
    <w:rsid w:val="00737750"/>
    <w:rsid w:val="007401B2"/>
    <w:rsid w:val="007419C3"/>
    <w:rsid w:val="00741ED8"/>
    <w:rsid w:val="00745413"/>
    <w:rsid w:val="007467A7"/>
    <w:rsid w:val="007469DD"/>
    <w:rsid w:val="0074741B"/>
    <w:rsid w:val="0074759E"/>
    <w:rsid w:val="007478EA"/>
    <w:rsid w:val="0075415C"/>
    <w:rsid w:val="00755A6E"/>
    <w:rsid w:val="00760891"/>
    <w:rsid w:val="00763502"/>
    <w:rsid w:val="00770CD0"/>
    <w:rsid w:val="007715C2"/>
    <w:rsid w:val="0077297A"/>
    <w:rsid w:val="00773839"/>
    <w:rsid w:val="00777701"/>
    <w:rsid w:val="007913AB"/>
    <w:rsid w:val="007914F7"/>
    <w:rsid w:val="00791A02"/>
    <w:rsid w:val="007A12E6"/>
    <w:rsid w:val="007B1625"/>
    <w:rsid w:val="007B706E"/>
    <w:rsid w:val="007B71EB"/>
    <w:rsid w:val="007C6205"/>
    <w:rsid w:val="007C686A"/>
    <w:rsid w:val="007C728E"/>
    <w:rsid w:val="007D2C53"/>
    <w:rsid w:val="007D3D60"/>
    <w:rsid w:val="007E1980"/>
    <w:rsid w:val="007E1F25"/>
    <w:rsid w:val="007E3E98"/>
    <w:rsid w:val="007E4B76"/>
    <w:rsid w:val="007E5EA8"/>
    <w:rsid w:val="007E7D6E"/>
    <w:rsid w:val="007F0CF1"/>
    <w:rsid w:val="007F12A5"/>
    <w:rsid w:val="007F4CF1"/>
    <w:rsid w:val="007F4FB9"/>
    <w:rsid w:val="007F6330"/>
    <w:rsid w:val="007F758D"/>
    <w:rsid w:val="007F7D52"/>
    <w:rsid w:val="0080654C"/>
    <w:rsid w:val="008071C6"/>
    <w:rsid w:val="00817A00"/>
    <w:rsid w:val="00820653"/>
    <w:rsid w:val="00825F9A"/>
    <w:rsid w:val="008279B6"/>
    <w:rsid w:val="00835DB3"/>
    <w:rsid w:val="0083617B"/>
    <w:rsid w:val="008371BD"/>
    <w:rsid w:val="008504A8"/>
    <w:rsid w:val="0085282E"/>
    <w:rsid w:val="0085603A"/>
    <w:rsid w:val="008666C7"/>
    <w:rsid w:val="0086793D"/>
    <w:rsid w:val="0087198C"/>
    <w:rsid w:val="00872C1F"/>
    <w:rsid w:val="00873B42"/>
    <w:rsid w:val="00876A8F"/>
    <w:rsid w:val="0088352F"/>
    <w:rsid w:val="00884C57"/>
    <w:rsid w:val="008856D8"/>
    <w:rsid w:val="00887274"/>
    <w:rsid w:val="00887844"/>
    <w:rsid w:val="0088794E"/>
    <w:rsid w:val="00892E82"/>
    <w:rsid w:val="00897470"/>
    <w:rsid w:val="008C1B58"/>
    <w:rsid w:val="008C39AE"/>
    <w:rsid w:val="008C590D"/>
    <w:rsid w:val="008D5C10"/>
    <w:rsid w:val="008E031B"/>
    <w:rsid w:val="008E3D5C"/>
    <w:rsid w:val="008E6A7F"/>
    <w:rsid w:val="008E7029"/>
    <w:rsid w:val="008E7EF6"/>
    <w:rsid w:val="008F0F67"/>
    <w:rsid w:val="008F1F98"/>
    <w:rsid w:val="008F6758"/>
    <w:rsid w:val="009040DD"/>
    <w:rsid w:val="00905B47"/>
    <w:rsid w:val="00905B4D"/>
    <w:rsid w:val="00910CC5"/>
    <w:rsid w:val="0091331C"/>
    <w:rsid w:val="00914541"/>
    <w:rsid w:val="00917DB1"/>
    <w:rsid w:val="00924471"/>
    <w:rsid w:val="009279DE"/>
    <w:rsid w:val="00930116"/>
    <w:rsid w:val="00932735"/>
    <w:rsid w:val="00932A6E"/>
    <w:rsid w:val="0094212C"/>
    <w:rsid w:val="0094275C"/>
    <w:rsid w:val="00942C80"/>
    <w:rsid w:val="0095298D"/>
    <w:rsid w:val="00954689"/>
    <w:rsid w:val="009617C9"/>
    <w:rsid w:val="00961C93"/>
    <w:rsid w:val="00965324"/>
    <w:rsid w:val="00965511"/>
    <w:rsid w:val="0097091E"/>
    <w:rsid w:val="009760D3"/>
    <w:rsid w:val="00977132"/>
    <w:rsid w:val="009806FE"/>
    <w:rsid w:val="00981A4B"/>
    <w:rsid w:val="00982501"/>
    <w:rsid w:val="009877D3"/>
    <w:rsid w:val="00993932"/>
    <w:rsid w:val="00994E8F"/>
    <w:rsid w:val="009951DC"/>
    <w:rsid w:val="009959BB"/>
    <w:rsid w:val="00997158"/>
    <w:rsid w:val="009A3A7C"/>
    <w:rsid w:val="009B28A1"/>
    <w:rsid w:val="009B2ADB"/>
    <w:rsid w:val="009B603A"/>
    <w:rsid w:val="009C17B5"/>
    <w:rsid w:val="009C2D0E"/>
    <w:rsid w:val="009C3473"/>
    <w:rsid w:val="009C3DAC"/>
    <w:rsid w:val="009C42E0"/>
    <w:rsid w:val="009C6814"/>
    <w:rsid w:val="009C7B12"/>
    <w:rsid w:val="009D5085"/>
    <w:rsid w:val="009D5362"/>
    <w:rsid w:val="009E1415"/>
    <w:rsid w:val="009E6116"/>
    <w:rsid w:val="009E784C"/>
    <w:rsid w:val="009F0839"/>
    <w:rsid w:val="00A02D6C"/>
    <w:rsid w:val="00A02E43"/>
    <w:rsid w:val="00A057ED"/>
    <w:rsid w:val="00A065F9"/>
    <w:rsid w:val="00A07F34"/>
    <w:rsid w:val="00A111BC"/>
    <w:rsid w:val="00A1447F"/>
    <w:rsid w:val="00A1449F"/>
    <w:rsid w:val="00A22154"/>
    <w:rsid w:val="00A2472E"/>
    <w:rsid w:val="00A25C38"/>
    <w:rsid w:val="00A26301"/>
    <w:rsid w:val="00A26309"/>
    <w:rsid w:val="00A26A7B"/>
    <w:rsid w:val="00A313FA"/>
    <w:rsid w:val="00A31C7C"/>
    <w:rsid w:val="00A36BBE"/>
    <w:rsid w:val="00A429BC"/>
    <w:rsid w:val="00A4307A"/>
    <w:rsid w:val="00A47EBB"/>
    <w:rsid w:val="00A51CDD"/>
    <w:rsid w:val="00A63ED0"/>
    <w:rsid w:val="00A663E1"/>
    <w:rsid w:val="00A6730D"/>
    <w:rsid w:val="00A71625"/>
    <w:rsid w:val="00A71B9B"/>
    <w:rsid w:val="00A751C7"/>
    <w:rsid w:val="00A87844"/>
    <w:rsid w:val="00A93E8E"/>
    <w:rsid w:val="00AA038C"/>
    <w:rsid w:val="00AA7A09"/>
    <w:rsid w:val="00AB3B50"/>
    <w:rsid w:val="00AB640E"/>
    <w:rsid w:val="00AB6FDE"/>
    <w:rsid w:val="00AC05B1"/>
    <w:rsid w:val="00AC36C6"/>
    <w:rsid w:val="00AC45F4"/>
    <w:rsid w:val="00AC62EC"/>
    <w:rsid w:val="00AD356C"/>
    <w:rsid w:val="00AD6349"/>
    <w:rsid w:val="00AE2914"/>
    <w:rsid w:val="00AE31CD"/>
    <w:rsid w:val="00AE58C3"/>
    <w:rsid w:val="00AE6D15"/>
    <w:rsid w:val="00B01D87"/>
    <w:rsid w:val="00B04182"/>
    <w:rsid w:val="00B07AE3"/>
    <w:rsid w:val="00B10A1D"/>
    <w:rsid w:val="00B11430"/>
    <w:rsid w:val="00B15533"/>
    <w:rsid w:val="00B30434"/>
    <w:rsid w:val="00B353EB"/>
    <w:rsid w:val="00B439C4"/>
    <w:rsid w:val="00B43CB8"/>
    <w:rsid w:val="00B4535E"/>
    <w:rsid w:val="00B5182C"/>
    <w:rsid w:val="00B52A8C"/>
    <w:rsid w:val="00B578A5"/>
    <w:rsid w:val="00B636A8"/>
    <w:rsid w:val="00B665C6"/>
    <w:rsid w:val="00B67E2D"/>
    <w:rsid w:val="00B746EC"/>
    <w:rsid w:val="00B805AF"/>
    <w:rsid w:val="00B869EC"/>
    <w:rsid w:val="00B9397A"/>
    <w:rsid w:val="00B9633D"/>
    <w:rsid w:val="00BA2EBE"/>
    <w:rsid w:val="00BB0F28"/>
    <w:rsid w:val="00BB458A"/>
    <w:rsid w:val="00BC6014"/>
    <w:rsid w:val="00BC70CC"/>
    <w:rsid w:val="00BC7C0B"/>
    <w:rsid w:val="00BD00D3"/>
    <w:rsid w:val="00BD1659"/>
    <w:rsid w:val="00BD3AA9"/>
    <w:rsid w:val="00BD4A18"/>
    <w:rsid w:val="00BD6DB2"/>
    <w:rsid w:val="00BE11CF"/>
    <w:rsid w:val="00BE1534"/>
    <w:rsid w:val="00BE21AB"/>
    <w:rsid w:val="00BE55CB"/>
    <w:rsid w:val="00BE5F5D"/>
    <w:rsid w:val="00BF58D4"/>
    <w:rsid w:val="00BF617A"/>
    <w:rsid w:val="00C012A3"/>
    <w:rsid w:val="00C0379D"/>
    <w:rsid w:val="00C03931"/>
    <w:rsid w:val="00C05FE3"/>
    <w:rsid w:val="00C0769D"/>
    <w:rsid w:val="00C2136D"/>
    <w:rsid w:val="00C214EE"/>
    <w:rsid w:val="00C2314B"/>
    <w:rsid w:val="00C242DA"/>
    <w:rsid w:val="00C24971"/>
    <w:rsid w:val="00C2518E"/>
    <w:rsid w:val="00C26B24"/>
    <w:rsid w:val="00C26BE5"/>
    <w:rsid w:val="00C26E4D"/>
    <w:rsid w:val="00C27909"/>
    <w:rsid w:val="00C27B03"/>
    <w:rsid w:val="00C314E1"/>
    <w:rsid w:val="00C34397"/>
    <w:rsid w:val="00C4095D"/>
    <w:rsid w:val="00C51CFC"/>
    <w:rsid w:val="00C55C22"/>
    <w:rsid w:val="00C601D2"/>
    <w:rsid w:val="00C657AB"/>
    <w:rsid w:val="00C65BCC"/>
    <w:rsid w:val="00C66970"/>
    <w:rsid w:val="00C72EB0"/>
    <w:rsid w:val="00C8691C"/>
    <w:rsid w:val="00C9525B"/>
    <w:rsid w:val="00CA0771"/>
    <w:rsid w:val="00CA168A"/>
    <w:rsid w:val="00CA357E"/>
    <w:rsid w:val="00CA44F9"/>
    <w:rsid w:val="00CA4A69"/>
    <w:rsid w:val="00CC0FCC"/>
    <w:rsid w:val="00CC3DF3"/>
    <w:rsid w:val="00CC3E0C"/>
    <w:rsid w:val="00CC58D3"/>
    <w:rsid w:val="00CC5BDA"/>
    <w:rsid w:val="00CC784D"/>
    <w:rsid w:val="00CD076C"/>
    <w:rsid w:val="00CE3CEA"/>
    <w:rsid w:val="00CE6178"/>
    <w:rsid w:val="00D023DF"/>
    <w:rsid w:val="00D0337B"/>
    <w:rsid w:val="00D040F7"/>
    <w:rsid w:val="00D079B2"/>
    <w:rsid w:val="00D114E9"/>
    <w:rsid w:val="00D22928"/>
    <w:rsid w:val="00D23B2D"/>
    <w:rsid w:val="00D429C6"/>
    <w:rsid w:val="00D47748"/>
    <w:rsid w:val="00D54CC3"/>
    <w:rsid w:val="00D6041A"/>
    <w:rsid w:val="00D633EB"/>
    <w:rsid w:val="00D6753C"/>
    <w:rsid w:val="00D82FF7"/>
    <w:rsid w:val="00D83CD1"/>
    <w:rsid w:val="00D847FE"/>
    <w:rsid w:val="00D95A65"/>
    <w:rsid w:val="00D964EA"/>
    <w:rsid w:val="00D966D0"/>
    <w:rsid w:val="00DA0C59"/>
    <w:rsid w:val="00DA2A62"/>
    <w:rsid w:val="00DA3991"/>
    <w:rsid w:val="00DB2A53"/>
    <w:rsid w:val="00DB7E6C"/>
    <w:rsid w:val="00DC58F0"/>
    <w:rsid w:val="00DC7950"/>
    <w:rsid w:val="00DD5A29"/>
    <w:rsid w:val="00DD5D9D"/>
    <w:rsid w:val="00DE35CB"/>
    <w:rsid w:val="00DF119F"/>
    <w:rsid w:val="00DF21E9"/>
    <w:rsid w:val="00DF7211"/>
    <w:rsid w:val="00E00F14"/>
    <w:rsid w:val="00E06386"/>
    <w:rsid w:val="00E24EB4"/>
    <w:rsid w:val="00E320ED"/>
    <w:rsid w:val="00E33AFB"/>
    <w:rsid w:val="00E34218"/>
    <w:rsid w:val="00E45C94"/>
    <w:rsid w:val="00E46282"/>
    <w:rsid w:val="00E46805"/>
    <w:rsid w:val="00E469F7"/>
    <w:rsid w:val="00E5216E"/>
    <w:rsid w:val="00E76093"/>
    <w:rsid w:val="00E82344"/>
    <w:rsid w:val="00E83E45"/>
    <w:rsid w:val="00E84C82"/>
    <w:rsid w:val="00E84D64"/>
    <w:rsid w:val="00E87408"/>
    <w:rsid w:val="00E914C4"/>
    <w:rsid w:val="00E934F5"/>
    <w:rsid w:val="00E93E5E"/>
    <w:rsid w:val="00E9619A"/>
    <w:rsid w:val="00E96961"/>
    <w:rsid w:val="00EA0AA8"/>
    <w:rsid w:val="00EA72EC"/>
    <w:rsid w:val="00EB11CB"/>
    <w:rsid w:val="00EB275A"/>
    <w:rsid w:val="00EB711C"/>
    <w:rsid w:val="00EB786A"/>
    <w:rsid w:val="00EC1578"/>
    <w:rsid w:val="00EC1C72"/>
    <w:rsid w:val="00EC29C7"/>
    <w:rsid w:val="00EC3CC9"/>
    <w:rsid w:val="00EC4314"/>
    <w:rsid w:val="00EC60CA"/>
    <w:rsid w:val="00EC680A"/>
    <w:rsid w:val="00EE2BED"/>
    <w:rsid w:val="00EE374B"/>
    <w:rsid w:val="00EE489E"/>
    <w:rsid w:val="00EF0162"/>
    <w:rsid w:val="00F02B63"/>
    <w:rsid w:val="00F11BB5"/>
    <w:rsid w:val="00F1417B"/>
    <w:rsid w:val="00F265F6"/>
    <w:rsid w:val="00F31242"/>
    <w:rsid w:val="00F34B40"/>
    <w:rsid w:val="00F34B99"/>
    <w:rsid w:val="00F41840"/>
    <w:rsid w:val="00F5005F"/>
    <w:rsid w:val="00F51196"/>
    <w:rsid w:val="00F5246F"/>
    <w:rsid w:val="00F52DAB"/>
    <w:rsid w:val="00F543F0"/>
    <w:rsid w:val="00F547F7"/>
    <w:rsid w:val="00F5667E"/>
    <w:rsid w:val="00F61EDA"/>
    <w:rsid w:val="00F628D5"/>
    <w:rsid w:val="00F64D52"/>
    <w:rsid w:val="00F64F38"/>
    <w:rsid w:val="00F80596"/>
    <w:rsid w:val="00F81D29"/>
    <w:rsid w:val="00F869D1"/>
    <w:rsid w:val="00F900D3"/>
    <w:rsid w:val="00F91C4D"/>
    <w:rsid w:val="00F92FD9"/>
    <w:rsid w:val="00F959D5"/>
    <w:rsid w:val="00F9613A"/>
    <w:rsid w:val="00FA1380"/>
    <w:rsid w:val="00FA5427"/>
    <w:rsid w:val="00FA6684"/>
    <w:rsid w:val="00FA731E"/>
    <w:rsid w:val="00FB2B38"/>
    <w:rsid w:val="00FB2C9E"/>
    <w:rsid w:val="00FB378F"/>
    <w:rsid w:val="00FC048F"/>
    <w:rsid w:val="00FC101C"/>
    <w:rsid w:val="00FC1C6E"/>
    <w:rsid w:val="00FC3B20"/>
    <w:rsid w:val="00FC5177"/>
    <w:rsid w:val="00FC6358"/>
    <w:rsid w:val="00FD1AFE"/>
    <w:rsid w:val="00FD320D"/>
    <w:rsid w:val="00FD45FD"/>
    <w:rsid w:val="00FE23DE"/>
    <w:rsid w:val="00FF0EFD"/>
    <w:rsid w:val="02DA607A"/>
    <w:rsid w:val="08674595"/>
    <w:rsid w:val="09011FA4"/>
    <w:rsid w:val="0A815107"/>
    <w:rsid w:val="1B347A36"/>
    <w:rsid w:val="212B3B7D"/>
    <w:rsid w:val="3895735A"/>
    <w:rsid w:val="4448459A"/>
    <w:rsid w:val="44DF30A8"/>
    <w:rsid w:val="47C81344"/>
    <w:rsid w:val="488C708E"/>
    <w:rsid w:val="49043B72"/>
    <w:rsid w:val="505A7AFF"/>
    <w:rsid w:val="601E7940"/>
    <w:rsid w:val="68466C5D"/>
    <w:rsid w:val="6B4368C1"/>
    <w:rsid w:val="7BEA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semiHidden/>
    <w:unhideWhenUsed/>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link w:val="148"/>
    <w:semiHidden/>
    <w:qFormat/>
    <w:uiPriority w:val="0"/>
    <w:pPr>
      <w:shd w:val="clear" w:color="auto" w:fill="000080"/>
    </w:pPr>
  </w:style>
  <w:style w:type="paragraph" w:styleId="7">
    <w:name w:val="annotation text"/>
    <w:basedOn w:val="1"/>
    <w:link w:val="145"/>
    <w:semiHidden/>
    <w:unhideWhenUsed/>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Date"/>
    <w:basedOn w:val="1"/>
    <w:next w:val="1"/>
    <w:link w:val="149"/>
    <w:semiHidden/>
    <w:unhideWhenUsed/>
    <w:qFormat/>
    <w:uiPriority w:val="0"/>
    <w:pPr>
      <w:ind w:left="100" w:leftChars="2500"/>
    </w:pPr>
  </w:style>
  <w:style w:type="paragraph" w:styleId="15">
    <w:name w:val="endnote text"/>
    <w:basedOn w:val="1"/>
    <w:semiHidden/>
    <w:qFormat/>
    <w:uiPriority w:val="0"/>
    <w:pPr>
      <w:snapToGrid w:val="0"/>
      <w:jc w:val="left"/>
    </w:pPr>
  </w:style>
  <w:style w:type="paragraph" w:styleId="16">
    <w:name w:val="Balloon Text"/>
    <w:basedOn w:val="1"/>
    <w:semiHidden/>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tabs>
        <w:tab w:val="right" w:leader="dot" w:pos="9241"/>
      </w:tabs>
      <w:spacing w:beforeLines="25" w:afterLines="25"/>
      <w:jc w:val="left"/>
    </w:pPr>
    <w:rPr>
      <w:rFonts w:ascii="宋体"/>
      <w:szCs w:val="21"/>
    </w:rPr>
  </w:style>
  <w:style w:type="paragraph" w:styleId="20">
    <w:name w:val="toc 4"/>
    <w:basedOn w:val="1"/>
    <w:next w:val="1"/>
    <w:semiHidden/>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3"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1"/>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7"/>
    <w:next w:val="7"/>
    <w:link w:val="146"/>
    <w:semiHidden/>
    <w:unhideWhenUsed/>
    <w:qFormat/>
    <w:uiPriority w:val="0"/>
    <w:rPr>
      <w:b/>
      <w:bCs/>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rPr>
  </w:style>
  <w:style w:type="character" w:styleId="39">
    <w:name w:val="HTML Code"/>
    <w:qFormat/>
    <w:uiPriority w:val="0"/>
    <w:rPr>
      <w:rFonts w:ascii="Courier New" w:hAnsi="Courier New"/>
      <w:sz w:val="20"/>
      <w:szCs w:val="20"/>
    </w:rPr>
  </w:style>
  <w:style w:type="character" w:styleId="40">
    <w:name w:val="annotation reference"/>
    <w:semiHidden/>
    <w:unhideWhenUsed/>
    <w:qFormat/>
    <w:uiPriority w:val="0"/>
    <w:rPr>
      <w:sz w:val="21"/>
      <w:szCs w:val="21"/>
    </w:rPr>
  </w:style>
  <w:style w:type="character" w:styleId="41">
    <w:name w:val="footnote reference"/>
    <w:semiHidden/>
    <w:qFormat/>
    <w:uiPriority w:val="0"/>
    <w:rPr>
      <w:vertAlign w:val="superscript"/>
    </w:rPr>
  </w:style>
  <w:style w:type="character" w:customStyle="1" w:styleId="42">
    <w:name w:val="段 Char"/>
    <w:link w:val="23"/>
    <w:qFormat/>
    <w:uiPriority w:val="0"/>
    <w:rPr>
      <w:rFonts w:ascii="宋体"/>
      <w:sz w:val="21"/>
      <w:lang w:val="en-US" w:eastAsia="zh-CN" w:bidi="ar-SA"/>
    </w:rPr>
  </w:style>
  <w:style w:type="paragraph" w:customStyle="1" w:styleId="43">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6">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二级条标题"/>
    <w:basedOn w:val="43"/>
    <w:next w:val="23"/>
    <w:qFormat/>
    <w:uiPriority w:val="0"/>
    <w:pPr>
      <w:numPr>
        <w:ilvl w:val="2"/>
      </w:numPr>
      <w:spacing w:before="50" w:after="50"/>
      <w:outlineLvl w:val="3"/>
    </w:pPr>
  </w:style>
  <w:style w:type="paragraph" w:customStyle="1" w:styleId="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9">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0">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1">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三级条标题"/>
    <w:basedOn w:val="47"/>
    <w:next w:val="23"/>
    <w:qFormat/>
    <w:uiPriority w:val="0"/>
    <w:pPr>
      <w:numPr>
        <w:ilvl w:val="3"/>
      </w:numPr>
      <w:outlineLvl w:val="4"/>
    </w:pPr>
  </w:style>
  <w:style w:type="paragraph" w:customStyle="1" w:styleId="53">
    <w:name w:val="示例"/>
    <w:next w:val="54"/>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5">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56">
    <w:name w:val="四级条标题"/>
    <w:basedOn w:val="52"/>
    <w:next w:val="23"/>
    <w:qFormat/>
    <w:uiPriority w:val="0"/>
    <w:pPr>
      <w:numPr>
        <w:ilvl w:val="4"/>
      </w:numPr>
      <w:outlineLvl w:val="5"/>
    </w:pPr>
  </w:style>
  <w:style w:type="paragraph" w:customStyle="1" w:styleId="57">
    <w:name w:val="五级条标题"/>
    <w:basedOn w:val="56"/>
    <w:next w:val="23"/>
    <w:qFormat/>
    <w:uiPriority w:val="0"/>
    <w:pPr>
      <w:numPr>
        <w:ilvl w:val="5"/>
      </w:numPr>
      <w:outlineLvl w:val="6"/>
    </w:pPr>
  </w:style>
  <w:style w:type="paragraph" w:customStyle="1" w:styleId="58">
    <w:name w:val="注："/>
    <w:next w:val="2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9">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0"/>
    <w:pPr>
      <w:numPr>
        <w:ilvl w:val="2"/>
        <w:numId w:val="3"/>
      </w:numPr>
    </w:pPr>
    <w:rPr>
      <w:rFonts w:ascii="宋体"/>
      <w:szCs w:val="21"/>
    </w:rPr>
  </w:style>
  <w:style w:type="paragraph" w:customStyle="1" w:styleId="62">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63">
    <w:name w:val="示例×："/>
    <w:basedOn w:val="46"/>
    <w:qFormat/>
    <w:uiPriority w:val="0"/>
    <w:pPr>
      <w:numPr>
        <w:numId w:val="0"/>
      </w:numPr>
      <w:spacing w:beforeLines="0" w:afterLines="0"/>
      <w:ind w:firstLine="363"/>
      <w:outlineLvl w:val="9"/>
    </w:pPr>
    <w:rPr>
      <w:rFonts w:ascii="宋体" w:eastAsia="宋体"/>
      <w:sz w:val="18"/>
      <w:szCs w:val="18"/>
    </w:rPr>
  </w:style>
  <w:style w:type="paragraph" w:customStyle="1" w:styleId="64">
    <w:name w:val="二级无"/>
    <w:basedOn w:val="47"/>
    <w:qFormat/>
    <w:uiPriority w:val="0"/>
    <w:pPr>
      <w:spacing w:beforeLines="0" w:afterLines="0"/>
      <w:ind w:left="0"/>
    </w:pPr>
    <w:rPr>
      <w:rFonts w:ascii="宋体" w:eastAsia="宋体"/>
    </w:rPr>
  </w:style>
  <w:style w:type="paragraph" w:customStyle="1" w:styleId="65">
    <w:name w:val="注：（正文）"/>
    <w:basedOn w:val="58"/>
    <w:next w:val="23"/>
    <w:qFormat/>
    <w:uiPriority w:val="0"/>
  </w:style>
  <w:style w:type="paragraph" w:customStyle="1" w:styleId="66">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0">
    <w:name w:val="标准书眉_偶数页"/>
    <w:basedOn w:val="45"/>
    <w:next w:val="1"/>
    <w:qFormat/>
    <w:uiPriority w:val="0"/>
    <w:pPr>
      <w:jc w:val="left"/>
    </w:pPr>
  </w:style>
  <w:style w:type="paragraph" w:customStyle="1" w:styleId="71">
    <w:name w:val="标准书眉一"/>
    <w:qFormat/>
    <w:uiPriority w:val="0"/>
    <w:pPr>
      <w:jc w:val="both"/>
    </w:pPr>
    <w:rPr>
      <w:rFonts w:ascii="Times New Roman" w:hAnsi="Times New Roman" w:eastAsia="宋体" w:cs="Times New Roman"/>
      <w:lang w:val="en-US" w:eastAsia="zh-CN" w:bidi="ar-SA"/>
    </w:rPr>
  </w:style>
  <w:style w:type="paragraph" w:customStyle="1" w:styleId="72">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qFormat/>
    <w:uiPriority w:val="0"/>
    <w:rPr>
      <w:rFonts w:ascii="黑体" w:eastAsia="黑体"/>
      <w:spacing w:val="85"/>
      <w:w w:val="100"/>
      <w:position w:val="3"/>
      <w:sz w:val="28"/>
      <w:szCs w:val="28"/>
    </w:rPr>
  </w:style>
  <w:style w:type="paragraph" w:customStyle="1" w:styleId="75">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0"/>
    <w:pPr>
      <w:spacing w:before="370" w:line="400" w:lineRule="exact"/>
    </w:pPr>
    <w:rPr>
      <w:rFonts w:ascii="Times New Roman"/>
      <w:sz w:val="28"/>
      <w:szCs w:val="28"/>
    </w:rPr>
  </w:style>
  <w:style w:type="paragraph" w:customStyle="1" w:styleId="81">
    <w:name w:val="封面一致性程度标识"/>
    <w:basedOn w:val="80"/>
    <w:qFormat/>
    <w:uiPriority w:val="0"/>
    <w:pPr>
      <w:spacing w:before="440"/>
    </w:pPr>
    <w:rPr>
      <w:rFonts w:ascii="宋体" w:eastAsia="宋体"/>
    </w:rPr>
  </w:style>
  <w:style w:type="paragraph" w:customStyle="1" w:styleId="82">
    <w:name w:val="封面标准文稿类别"/>
    <w:basedOn w:val="81"/>
    <w:qFormat/>
    <w:uiPriority w:val="0"/>
    <w:pPr>
      <w:spacing w:after="160" w:line="240" w:lineRule="auto"/>
    </w:pPr>
    <w:rPr>
      <w:sz w:val="24"/>
    </w:rPr>
  </w:style>
  <w:style w:type="paragraph" w:customStyle="1" w:styleId="83">
    <w:name w:val="封面标准文稿编辑信息"/>
    <w:basedOn w:val="82"/>
    <w:qFormat/>
    <w:uiPriority w:val="0"/>
    <w:pPr>
      <w:spacing w:before="180" w:line="180" w:lineRule="exact"/>
    </w:pPr>
    <w:rPr>
      <w:sz w:val="21"/>
    </w:rPr>
  </w:style>
  <w:style w:type="paragraph" w:customStyle="1" w:styleId="84">
    <w:name w:val="封面正文"/>
    <w:qFormat/>
    <w:uiPriority w:val="0"/>
    <w:pPr>
      <w:jc w:val="both"/>
    </w:pPr>
    <w:rPr>
      <w:rFonts w:ascii="Times New Roman" w:hAnsi="Times New Roman" w:eastAsia="宋体" w:cs="Times New Roman"/>
      <w:lang w:val="en-US" w:eastAsia="zh-CN" w:bidi="ar-SA"/>
    </w:rPr>
  </w:style>
  <w:style w:type="paragraph" w:customStyle="1" w:styleId="85">
    <w:name w:val="附录标识"/>
    <w:basedOn w:val="1"/>
    <w:next w:val="23"/>
    <w:qFormat/>
    <w:uiPriority w:val="0"/>
    <w:pPr>
      <w:keepNext/>
      <w:widowControl/>
      <w:numPr>
        <w:ilvl w:val="0"/>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86">
    <w:name w:val="附录标题"/>
    <w:basedOn w:val="23"/>
    <w:next w:val="23"/>
    <w:qFormat/>
    <w:uiPriority w:val="0"/>
    <w:pPr>
      <w:ind w:firstLine="0" w:firstLineChars="0"/>
      <w:jc w:val="center"/>
    </w:pPr>
    <w:rPr>
      <w:rFonts w:ascii="黑体" w:eastAsia="黑体"/>
    </w:rPr>
  </w:style>
  <w:style w:type="paragraph" w:customStyle="1" w:styleId="87">
    <w:name w:val="附录表标号"/>
    <w:basedOn w:val="1"/>
    <w:next w:val="23"/>
    <w:qFormat/>
    <w:uiPriority w:val="0"/>
    <w:pPr>
      <w:numPr>
        <w:ilvl w:val="0"/>
        <w:numId w:val="7"/>
      </w:numPr>
      <w:tabs>
        <w:tab w:val="clear" w:pos="0"/>
      </w:tabs>
      <w:spacing w:line="14" w:lineRule="exact"/>
      <w:ind w:left="811" w:hanging="448"/>
      <w:jc w:val="center"/>
      <w:outlineLvl w:val="0"/>
    </w:pPr>
    <w:rPr>
      <w:color w:val="FFFFFF"/>
    </w:rPr>
  </w:style>
  <w:style w:type="paragraph" w:customStyle="1" w:styleId="88">
    <w:name w:val="附录表标题"/>
    <w:basedOn w:val="1"/>
    <w:next w:val="23"/>
    <w:qFormat/>
    <w:uiPriority w:val="0"/>
    <w:pPr>
      <w:numPr>
        <w:ilvl w:val="1"/>
        <w:numId w:val="7"/>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3"/>
    <w:qFormat/>
    <w:uiPriority w:val="0"/>
    <w:pPr>
      <w:widowControl/>
      <w:numPr>
        <w:ilvl w:val="3"/>
        <w:numId w:val="6"/>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0">
    <w:name w:val="附录二级无"/>
    <w:basedOn w:val="89"/>
    <w:qFormat/>
    <w:uiPriority w:val="0"/>
    <w:pPr>
      <w:spacing w:beforeLines="0" w:afterLines="0"/>
    </w:pPr>
    <w:rPr>
      <w:rFonts w:ascii="宋体" w:eastAsia="宋体"/>
      <w:szCs w:val="21"/>
    </w:rPr>
  </w:style>
  <w:style w:type="paragraph" w:customStyle="1" w:styleId="91">
    <w:name w:val="附录公式"/>
    <w:basedOn w:val="23"/>
    <w:next w:val="23"/>
    <w:link w:val="92"/>
    <w:qFormat/>
    <w:uiPriority w:val="0"/>
  </w:style>
  <w:style w:type="character" w:customStyle="1" w:styleId="92">
    <w:name w:val="附录公式 Char"/>
    <w:link w:val="91"/>
    <w:qFormat/>
    <w:uiPriority w:val="0"/>
    <w:rPr>
      <w:rFonts w:ascii="宋体"/>
      <w:sz w:val="21"/>
      <w:lang w:val="en-US" w:eastAsia="zh-CN" w:bidi="ar-SA"/>
    </w:rPr>
  </w:style>
  <w:style w:type="paragraph" w:customStyle="1" w:styleId="93">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3"/>
    <w:qFormat/>
    <w:uiPriority w:val="0"/>
    <w:pPr>
      <w:numPr>
        <w:ilvl w:val="4"/>
      </w:numPr>
      <w:outlineLvl w:val="4"/>
    </w:pPr>
  </w:style>
  <w:style w:type="paragraph" w:customStyle="1" w:styleId="95">
    <w:name w:val="附录三级无"/>
    <w:basedOn w:val="94"/>
    <w:qFormat/>
    <w:uiPriority w:val="0"/>
    <w:pPr>
      <w:spacing w:beforeLines="0" w:afterLines="0"/>
    </w:pPr>
    <w:rPr>
      <w:rFonts w:ascii="宋体" w:eastAsia="宋体"/>
      <w:szCs w:val="21"/>
    </w:rPr>
  </w:style>
  <w:style w:type="paragraph" w:customStyle="1" w:styleId="96">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97">
    <w:name w:val="附录四级条标题"/>
    <w:basedOn w:val="94"/>
    <w:next w:val="23"/>
    <w:qFormat/>
    <w:uiPriority w:val="0"/>
    <w:pPr>
      <w:numPr>
        <w:ilvl w:val="5"/>
      </w:numPr>
      <w:outlineLvl w:val="5"/>
    </w:pPr>
  </w:style>
  <w:style w:type="paragraph" w:customStyle="1" w:styleId="98">
    <w:name w:val="附录四级无"/>
    <w:basedOn w:val="97"/>
    <w:uiPriority w:val="0"/>
    <w:pPr>
      <w:spacing w:beforeLines="0" w:afterLines="0"/>
    </w:pPr>
    <w:rPr>
      <w:rFonts w:ascii="宋体" w:eastAsia="宋体"/>
      <w:szCs w:val="21"/>
    </w:rPr>
  </w:style>
  <w:style w:type="paragraph" w:customStyle="1" w:styleId="99">
    <w:name w:val="附录图标号"/>
    <w:basedOn w:val="1"/>
    <w:uiPriority w:val="0"/>
    <w:pPr>
      <w:keepNext/>
      <w:pageBreakBefore/>
      <w:widowControl/>
      <w:numPr>
        <w:ilvl w:val="0"/>
        <w:numId w:val="9"/>
      </w:numPr>
      <w:spacing w:line="14" w:lineRule="exact"/>
      <w:ind w:left="0" w:firstLine="363"/>
      <w:jc w:val="center"/>
      <w:outlineLvl w:val="0"/>
    </w:pPr>
    <w:rPr>
      <w:color w:val="FFFFFF"/>
    </w:rPr>
  </w:style>
  <w:style w:type="paragraph" w:customStyle="1" w:styleId="100">
    <w:name w:val="附录图标题"/>
    <w:basedOn w:val="1"/>
    <w:next w:val="23"/>
    <w:uiPriority w:val="0"/>
    <w:pPr>
      <w:numPr>
        <w:ilvl w:val="1"/>
        <w:numId w:val="9"/>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3"/>
    <w:uiPriority w:val="0"/>
    <w:pPr>
      <w:numPr>
        <w:ilvl w:val="6"/>
      </w:numPr>
      <w:outlineLvl w:val="6"/>
    </w:pPr>
  </w:style>
  <w:style w:type="paragraph" w:customStyle="1" w:styleId="102">
    <w:name w:val="附录五级无"/>
    <w:basedOn w:val="101"/>
    <w:uiPriority w:val="0"/>
    <w:pPr>
      <w:spacing w:beforeLines="0" w:afterLines="0"/>
    </w:pPr>
    <w:rPr>
      <w:rFonts w:ascii="宋体" w:eastAsia="宋体"/>
      <w:szCs w:val="21"/>
    </w:rPr>
  </w:style>
  <w:style w:type="paragraph" w:customStyle="1" w:styleId="103">
    <w:name w:val="附录章标题"/>
    <w:next w:val="23"/>
    <w:uiPriority w:val="0"/>
    <w:pPr>
      <w:numPr>
        <w:ilvl w:val="1"/>
        <w:numId w:val="6"/>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3"/>
    <w:uiPriority w:val="0"/>
    <w:pPr>
      <w:numPr>
        <w:ilvl w:val="2"/>
      </w:numPr>
      <w:autoSpaceDN w:val="0"/>
      <w:spacing w:beforeLines="50" w:afterLines="50"/>
      <w:outlineLvl w:val="2"/>
    </w:pPr>
  </w:style>
  <w:style w:type="paragraph" w:customStyle="1" w:styleId="105">
    <w:name w:val="附录一级无"/>
    <w:basedOn w:val="104"/>
    <w:uiPriority w:val="0"/>
    <w:pPr>
      <w:spacing w:beforeLines="0" w:afterLines="0"/>
    </w:pPr>
    <w:rPr>
      <w:rFonts w:ascii="宋体" w:eastAsia="宋体"/>
      <w:szCs w:val="21"/>
    </w:rPr>
  </w:style>
  <w:style w:type="paragraph" w:customStyle="1" w:styleId="106">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07">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8">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09">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10">
    <w:name w:val="其他标准标志"/>
    <w:basedOn w:val="67"/>
    <w:uiPriority w:val="0"/>
    <w:pPr>
      <w:framePr w:w="6101" w:vAnchor="page" w:hAnchor="page" w:x="4673" w:y="942"/>
    </w:pPr>
    <w:rPr>
      <w:w w:val="130"/>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其他发布部门"/>
    <w:basedOn w:val="75"/>
    <w:uiPriority w:val="0"/>
    <w:pPr>
      <w:framePr w:y="15310"/>
      <w:spacing w:line="0" w:lineRule="atLeast"/>
    </w:pPr>
    <w:rPr>
      <w:rFonts w:ascii="黑体" w:eastAsia="黑体"/>
      <w:b w:val="0"/>
    </w:rPr>
  </w:style>
  <w:style w:type="paragraph" w:customStyle="1" w:styleId="113">
    <w:name w:val="前言、引言标题"/>
    <w:next w:val="23"/>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4">
    <w:name w:val="三级无"/>
    <w:basedOn w:val="52"/>
    <w:uiPriority w:val="0"/>
    <w:pPr>
      <w:spacing w:beforeLines="0" w:afterLines="0"/>
    </w:pPr>
    <w:rPr>
      <w:rFonts w:ascii="宋体" w:eastAsia="宋体"/>
    </w:rPr>
  </w:style>
  <w:style w:type="paragraph" w:customStyle="1" w:styleId="115">
    <w:name w:val="实施日期"/>
    <w:basedOn w:val="76"/>
    <w:uiPriority w:val="0"/>
    <w:pPr>
      <w:framePr w:vAnchor="page" w:hAnchor="text"/>
      <w:jc w:val="right"/>
    </w:pPr>
  </w:style>
  <w:style w:type="paragraph" w:customStyle="1" w:styleId="116">
    <w:name w:val="示例后文字"/>
    <w:basedOn w:val="23"/>
    <w:next w:val="23"/>
    <w:qFormat/>
    <w:uiPriority w:val="0"/>
    <w:pPr>
      <w:ind w:firstLine="360"/>
    </w:pPr>
    <w:rPr>
      <w:sz w:val="18"/>
    </w:rPr>
  </w:style>
  <w:style w:type="paragraph" w:customStyle="1" w:styleId="117">
    <w:name w:val="首示例"/>
    <w:next w:val="23"/>
    <w:link w:val="118"/>
    <w:qFormat/>
    <w:uiPriority w:val="0"/>
    <w:pPr>
      <w:tabs>
        <w:tab w:val="left" w:pos="360"/>
      </w:tabs>
    </w:pPr>
    <w:rPr>
      <w:rFonts w:ascii="宋体" w:hAnsi="宋体" w:eastAsia="宋体" w:cs="Times New Roman"/>
      <w:kern w:val="2"/>
      <w:sz w:val="18"/>
      <w:szCs w:val="18"/>
      <w:lang w:val="en-US" w:eastAsia="zh-CN" w:bidi="ar-SA"/>
    </w:rPr>
  </w:style>
  <w:style w:type="character" w:customStyle="1" w:styleId="118">
    <w:name w:val="首示例 Char"/>
    <w:link w:val="117"/>
    <w:uiPriority w:val="0"/>
    <w:rPr>
      <w:rFonts w:ascii="宋体" w:hAnsi="宋体"/>
      <w:kern w:val="2"/>
      <w:sz w:val="18"/>
      <w:szCs w:val="18"/>
      <w:lang w:val="en-US" w:eastAsia="zh-CN" w:bidi="ar-SA"/>
    </w:rPr>
  </w:style>
  <w:style w:type="paragraph" w:customStyle="1" w:styleId="119">
    <w:name w:val="四级无"/>
    <w:basedOn w:val="56"/>
    <w:uiPriority w:val="0"/>
    <w:pPr>
      <w:spacing w:beforeLines="0" w:afterLines="0"/>
    </w:pPr>
    <w:rPr>
      <w:rFonts w:ascii="宋体" w:eastAsia="宋体"/>
    </w:rPr>
  </w:style>
  <w:style w:type="paragraph" w:customStyle="1" w:styleId="120">
    <w:name w:val="条文脚注"/>
    <w:basedOn w:val="24"/>
    <w:uiPriority w:val="0"/>
    <w:pPr>
      <w:numPr>
        <w:numId w:val="0"/>
      </w:numPr>
      <w:jc w:val="both"/>
    </w:pPr>
  </w:style>
  <w:style w:type="paragraph" w:customStyle="1" w:styleId="121">
    <w:name w:val="图标脚注说明"/>
    <w:basedOn w:val="23"/>
    <w:uiPriority w:val="0"/>
    <w:pPr>
      <w:ind w:left="840" w:hanging="420" w:firstLineChars="0"/>
    </w:pPr>
    <w:rPr>
      <w:sz w:val="18"/>
      <w:szCs w:val="18"/>
    </w:rPr>
  </w:style>
  <w:style w:type="paragraph" w:customStyle="1" w:styleId="122">
    <w:name w:val="图表脚注说明"/>
    <w:basedOn w:val="1"/>
    <w:uiPriority w:val="0"/>
    <w:pPr>
      <w:ind w:left="544" w:hanging="181"/>
    </w:pPr>
    <w:rPr>
      <w:rFonts w:ascii="宋体"/>
      <w:sz w:val="18"/>
      <w:szCs w:val="18"/>
    </w:rPr>
  </w:style>
  <w:style w:type="paragraph" w:customStyle="1" w:styleId="123">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5">
    <w:name w:val="五级无"/>
    <w:basedOn w:val="57"/>
    <w:uiPriority w:val="0"/>
    <w:pPr>
      <w:spacing w:beforeLines="0" w:afterLines="0"/>
    </w:pPr>
    <w:rPr>
      <w:rFonts w:ascii="宋体" w:eastAsia="宋体"/>
    </w:rPr>
  </w:style>
  <w:style w:type="paragraph" w:customStyle="1" w:styleId="126">
    <w:name w:val="一级无"/>
    <w:basedOn w:val="43"/>
    <w:uiPriority w:val="0"/>
    <w:pPr>
      <w:spacing w:beforeLines="0" w:afterLines="0"/>
    </w:pPr>
    <w:rPr>
      <w:rFonts w:ascii="宋体" w:eastAsia="宋体"/>
    </w:rPr>
  </w:style>
  <w:style w:type="paragraph" w:customStyle="1" w:styleId="127">
    <w:name w:val="正文表标题"/>
    <w:next w:val="23"/>
    <w:uiPriority w:val="0"/>
    <w:pPr>
      <w:tabs>
        <w:tab w:val="left" w:pos="360"/>
      </w:tabs>
      <w:spacing w:beforeLines="50" w:afterLines="50"/>
      <w:ind w:firstLine="6237"/>
      <w:jc w:val="center"/>
    </w:pPr>
    <w:rPr>
      <w:rFonts w:ascii="黑体" w:hAnsi="Times New Roman" w:eastAsia="黑体" w:cs="Times New Roman"/>
      <w:sz w:val="21"/>
      <w:lang w:val="en-US" w:eastAsia="zh-CN" w:bidi="ar-SA"/>
    </w:rPr>
  </w:style>
  <w:style w:type="paragraph" w:customStyle="1" w:styleId="128">
    <w:name w:val="正文公式编号制表符"/>
    <w:basedOn w:val="23"/>
    <w:next w:val="23"/>
    <w:qFormat/>
    <w:uiPriority w:val="0"/>
    <w:pPr>
      <w:ind w:firstLine="0" w:firstLineChars="0"/>
    </w:pPr>
  </w:style>
  <w:style w:type="paragraph" w:customStyle="1" w:styleId="129">
    <w:name w:val="正文图标题"/>
    <w:next w:val="23"/>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0">
    <w:name w:val="终结线"/>
    <w:basedOn w:val="1"/>
    <w:uiPriority w:val="0"/>
    <w:pPr>
      <w:framePr w:hSpace="181" w:vSpace="181" w:wrap="around" w:vAnchor="text" w:hAnchor="margin" w:xAlign="center" w:y="285"/>
    </w:pPr>
  </w:style>
  <w:style w:type="paragraph" w:customStyle="1" w:styleId="131">
    <w:name w:val="其他发布日期"/>
    <w:basedOn w:val="76"/>
    <w:uiPriority w:val="0"/>
    <w:pPr>
      <w:framePr w:vAnchor="page" w:hAnchor="text" w:x="1419"/>
    </w:pPr>
  </w:style>
  <w:style w:type="paragraph" w:customStyle="1" w:styleId="132">
    <w:name w:val="其他实施日期"/>
    <w:basedOn w:val="115"/>
    <w:uiPriority w:val="0"/>
  </w:style>
  <w:style w:type="paragraph" w:customStyle="1" w:styleId="133">
    <w:name w:val="封面标准名称2"/>
    <w:basedOn w:val="79"/>
    <w:uiPriority w:val="0"/>
    <w:pPr>
      <w:framePr w:y="4469"/>
      <w:spacing w:beforeLines="630"/>
    </w:pPr>
  </w:style>
  <w:style w:type="paragraph" w:customStyle="1" w:styleId="134">
    <w:name w:val="封面标准英文名称2"/>
    <w:basedOn w:val="80"/>
    <w:uiPriority w:val="0"/>
    <w:pPr>
      <w:framePr w:y="4469"/>
    </w:pPr>
  </w:style>
  <w:style w:type="paragraph" w:customStyle="1" w:styleId="135">
    <w:name w:val="封面一致性程度标识2"/>
    <w:basedOn w:val="81"/>
    <w:uiPriority w:val="0"/>
    <w:pPr>
      <w:framePr w:y="4469"/>
    </w:pPr>
  </w:style>
  <w:style w:type="paragraph" w:customStyle="1" w:styleId="136">
    <w:name w:val="封面标准文稿类别2"/>
    <w:basedOn w:val="82"/>
    <w:qFormat/>
    <w:uiPriority w:val="0"/>
    <w:pPr>
      <w:framePr w:y="4469"/>
    </w:pPr>
  </w:style>
  <w:style w:type="paragraph" w:customStyle="1" w:styleId="137">
    <w:name w:val="封面标准文稿编辑信息2"/>
    <w:basedOn w:val="83"/>
    <w:uiPriority w:val="0"/>
    <w:pPr>
      <w:framePr w:y="4469"/>
    </w:pPr>
  </w:style>
  <w:style w:type="paragraph" w:customStyle="1" w:styleId="138">
    <w:name w:val="Char Char Char Char Char Char Char"/>
    <w:basedOn w:val="1"/>
    <w:uiPriority w:val="0"/>
    <w:pPr>
      <w:widowControl/>
      <w:spacing w:after="160" w:line="240" w:lineRule="exact"/>
      <w:jc w:val="left"/>
    </w:pPr>
    <w:rPr>
      <w:szCs w:val="20"/>
    </w:rPr>
  </w:style>
  <w:style w:type="paragraph" w:customStyle="1" w:styleId="139">
    <w:name w:val="二级无标题条"/>
    <w:basedOn w:val="1"/>
    <w:uiPriority w:val="0"/>
    <w:pPr>
      <w:numPr>
        <w:ilvl w:val="3"/>
        <w:numId w:val="10"/>
      </w:numPr>
    </w:pPr>
  </w:style>
  <w:style w:type="paragraph" w:customStyle="1" w:styleId="140">
    <w:name w:val="三级无标题条"/>
    <w:basedOn w:val="1"/>
    <w:uiPriority w:val="0"/>
    <w:pPr>
      <w:numPr>
        <w:ilvl w:val="4"/>
        <w:numId w:val="10"/>
      </w:numPr>
    </w:pPr>
  </w:style>
  <w:style w:type="paragraph" w:customStyle="1" w:styleId="141">
    <w:name w:val="四级无标题条"/>
    <w:basedOn w:val="1"/>
    <w:uiPriority w:val="0"/>
    <w:pPr>
      <w:numPr>
        <w:ilvl w:val="5"/>
        <w:numId w:val="10"/>
      </w:numPr>
    </w:pPr>
  </w:style>
  <w:style w:type="paragraph" w:customStyle="1" w:styleId="142">
    <w:name w:val="五级无标题条"/>
    <w:basedOn w:val="1"/>
    <w:uiPriority w:val="0"/>
    <w:pPr>
      <w:numPr>
        <w:ilvl w:val="6"/>
        <w:numId w:val="10"/>
      </w:numPr>
    </w:pPr>
  </w:style>
  <w:style w:type="paragraph" w:customStyle="1" w:styleId="143">
    <w:name w:val="一级无标题条"/>
    <w:basedOn w:val="1"/>
    <w:uiPriority w:val="0"/>
    <w:pPr>
      <w:numPr>
        <w:ilvl w:val="2"/>
        <w:numId w:val="10"/>
      </w:numPr>
    </w:pPr>
  </w:style>
  <w:style w:type="paragraph" w:customStyle="1" w:styleId="144">
    <w:name w:val="Char"/>
    <w:basedOn w:val="1"/>
    <w:uiPriority w:val="0"/>
    <w:pPr>
      <w:widowControl/>
      <w:spacing w:after="160" w:line="240" w:lineRule="exact"/>
      <w:jc w:val="left"/>
    </w:pPr>
    <w:rPr>
      <w:rFonts w:ascii="Verdana" w:hAnsi="Verdana" w:eastAsia="仿宋_GB2312"/>
      <w:kern w:val="0"/>
      <w:sz w:val="24"/>
      <w:szCs w:val="20"/>
      <w:lang w:eastAsia="en-US"/>
    </w:rPr>
  </w:style>
  <w:style w:type="character" w:customStyle="1" w:styleId="145">
    <w:name w:val="批注文字 字符"/>
    <w:link w:val="7"/>
    <w:semiHidden/>
    <w:uiPriority w:val="0"/>
    <w:rPr>
      <w:kern w:val="2"/>
      <w:sz w:val="21"/>
      <w:szCs w:val="24"/>
    </w:rPr>
  </w:style>
  <w:style w:type="character" w:customStyle="1" w:styleId="146">
    <w:name w:val="批注主题 字符"/>
    <w:link w:val="31"/>
    <w:semiHidden/>
    <w:uiPriority w:val="0"/>
    <w:rPr>
      <w:b/>
      <w:bCs/>
      <w:kern w:val="2"/>
      <w:sz w:val="21"/>
      <w:szCs w:val="24"/>
    </w:rPr>
  </w:style>
  <w:style w:type="paragraph" w:customStyle="1" w:styleId="147">
    <w:name w:val="p0"/>
    <w:basedOn w:val="1"/>
    <w:uiPriority w:val="0"/>
    <w:pPr>
      <w:widowControl/>
    </w:pPr>
    <w:rPr>
      <w:kern w:val="0"/>
      <w:szCs w:val="21"/>
    </w:rPr>
  </w:style>
  <w:style w:type="character" w:customStyle="1" w:styleId="148">
    <w:name w:val="文档结构图 字符"/>
    <w:link w:val="6"/>
    <w:semiHidden/>
    <w:uiPriority w:val="0"/>
    <w:rPr>
      <w:kern w:val="2"/>
      <w:sz w:val="21"/>
      <w:szCs w:val="24"/>
      <w:shd w:val="clear" w:color="auto" w:fill="000080"/>
    </w:rPr>
  </w:style>
  <w:style w:type="character" w:customStyle="1" w:styleId="149">
    <w:name w:val="日期 字符"/>
    <w:link w:val="14"/>
    <w:semiHidden/>
    <w:uiPriority w:val="0"/>
    <w:rPr>
      <w:kern w:val="2"/>
      <w:sz w:val="21"/>
      <w:szCs w:val="24"/>
    </w:rPr>
  </w:style>
  <w:style w:type="character" w:customStyle="1" w:styleId="150">
    <w:name w:val="font01"/>
    <w:qFormat/>
    <w:uiPriority w:val="0"/>
    <w:rPr>
      <w:rFonts w:hint="eastAsia" w:ascii="宋体" w:hAnsi="宋体" w:eastAsia="宋体" w:cs="宋体"/>
      <w:color w:val="000000"/>
      <w:sz w:val="22"/>
      <w:szCs w:val="22"/>
      <w:u w:val="none"/>
    </w:rPr>
  </w:style>
  <w:style w:type="character" w:customStyle="1" w:styleId="151">
    <w:name w:val="font11"/>
    <w:qFormat/>
    <w:uiPriority w:val="0"/>
    <w:rPr>
      <w:rFonts w:hint="eastAsia" w:ascii="宋体" w:hAnsi="宋体" w:eastAsia="宋体" w:cs="宋体"/>
      <w:i/>
      <w:iCs/>
      <w:color w:val="000000"/>
      <w:sz w:val="22"/>
      <w:szCs w:val="22"/>
      <w:u w:val="none"/>
    </w:rPr>
  </w:style>
  <w:style w:type="character" w:customStyle="1" w:styleId="152">
    <w:name w:val="font21"/>
    <w:qFormat/>
    <w:uiPriority w:val="0"/>
    <w:rPr>
      <w:rFonts w:hint="eastAsia" w:ascii="宋体" w:hAnsi="宋体" w:eastAsia="宋体" w:cs="宋体"/>
      <w:color w:val="000000"/>
      <w:sz w:val="22"/>
      <w:szCs w:val="22"/>
      <w:u w:val="none"/>
      <w:vertAlign w:val="subscript"/>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microsoft.com/office/2006/relationships/keyMapCustomizations" Target="customizations.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emf"/><Relationship Id="rId2" Type="http://schemas.openxmlformats.org/officeDocument/2006/relationships/settings" Target="settings.xml"/><Relationship Id="rId19" Type="http://schemas.openxmlformats.org/officeDocument/2006/relationships/image" Target="media/image4.emf"/><Relationship Id="rId18" Type="http://schemas.openxmlformats.org/officeDocument/2006/relationships/image" Target="media/image3.emf"/><Relationship Id="rId17" Type="http://schemas.openxmlformats.org/officeDocument/2006/relationships/image" Target="media/image2.emf"/><Relationship Id="rId16" Type="http://schemas.openxmlformats.org/officeDocument/2006/relationships/image" Target="media/image1.emf"/><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9"/>
    <customShpInfo spid="_x0000_s1040"/>
    <customShpInfo spid="_x0000_s1034"/>
    <customShpInfo spid="_x0000_s1037"/>
    <customShpInfo spid="_x0000_s1036"/>
    <customShpInfo spid="_x0000_s1035"/>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243F75-5A62-4AB6-A8C7-D405362F32D0}">
  <ds:schemaRefs/>
</ds:datastoreItem>
</file>

<file path=docProps/app.xml><?xml version="1.0" encoding="utf-8"?>
<Properties xmlns="http://schemas.openxmlformats.org/officeDocument/2006/extended-properties" xmlns:vt="http://schemas.openxmlformats.org/officeDocument/2006/docPropsVTypes">
  <Template>Normal</Template>
  <Pages>5</Pages>
  <Words>464</Words>
  <Characters>2651</Characters>
  <Lines>22</Lines>
  <Paragraphs>6</Paragraphs>
  <TotalTime>11</TotalTime>
  <ScaleCrop>false</ScaleCrop>
  <LinksUpToDate>false</LinksUpToDate>
  <CharactersWithSpaces>3109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2020-07-09T05:16:00Z</dcterms:created>
  <dcterms:modified xsi:type="dcterms:W3CDTF">2023-08-29T11:03:04Z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9AE7186F6D734DCB93E4AEA757452DD3_12</vt:lpwstr>
  </property>
</Properties>
</file>