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5"/>
        <w:framePr w:wrap="around" w:vAnchor="page" w:hAnchor="page" w:x="1826" w:y="1204"/>
      </w:pPr>
      <w:r>
        <w:rPr>
          <w:rFonts w:ascii="Times New Roman"/>
        </w:rPr>
        <w:t>ICS</w:t>
      </w:r>
      <w:r>
        <w:rPr>
          <w:rFonts w:hint="eastAsia" w:ascii="MS Mincho" w:hAnsi="MS Mincho" w:eastAsia="MS Mincho" w:cs="MS Mincho"/>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77.180</w:t>
      </w:r>
      <w:r>
        <w:fldChar w:fldCharType="end"/>
      </w:r>
      <w:bookmarkEnd w:id="0"/>
    </w:p>
    <w:p>
      <w:pPr>
        <w:pStyle w:val="125"/>
        <w:framePr w:wrap="around" w:vAnchor="page" w:hAnchor="page" w:x="1826" w:y="1204"/>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H 94</w:t>
      </w:r>
      <w:r>
        <w:fldChar w:fldCharType="end"/>
      </w:r>
      <w:bookmarkEnd w:id="1"/>
    </w:p>
    <w:tbl>
      <w:tblPr>
        <w:tblStyle w:val="4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5"/>
              <w:framePr w:wrap="around" w:vAnchor="page" w:hAnchor="page" w:x="1826" w:y="1204"/>
              <w:jc w:val="both"/>
            </w:pPr>
            <w:r>
              <mc:AlternateContent>
                <mc:Choice Requires="wps">
                  <w:drawing>
                    <wp:anchor distT="0" distB="0" distL="114300" distR="114300" simplePos="0" relativeHeight="251663360" behindDoc="1" locked="0" layoutInCell="1" allowOverlap="1">
                      <wp:simplePos x="0" y="0"/>
                      <wp:positionH relativeFrom="column">
                        <wp:posOffset>-66675</wp:posOffset>
                      </wp:positionH>
                      <wp:positionV relativeFrom="paragraph">
                        <wp:posOffset>0</wp:posOffset>
                      </wp:positionV>
                      <wp:extent cx="866775" cy="198120"/>
                      <wp:effectExtent l="0" t="0" r="1905" b="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3120;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yK4v7NUA&#10;AAAHAQAADwAAAAAAAAABACAAAAAiAAAAZHJzL2Rvd25yZXYueG1sUEsBAhQAFAAAAAgAh07iQLEz&#10;6MywAQAAZwMAAA4AAAAAAAAAAQAgAAAAJAEAAGRycy9lMm9Eb2MueG1sUEsFBgAAAAAGAAYAWQEA&#10;AEYFA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rPr>
                <w:rFonts w:hint="eastAsia"/>
              </w:rPr>
              <w:t>备案号</w:t>
            </w:r>
            <w:r>
              <w:fldChar w:fldCharType="end"/>
            </w:r>
            <w:bookmarkEnd w:id="2"/>
          </w:p>
        </w:tc>
      </w:tr>
    </w:tbl>
    <w:p>
      <w:pPr>
        <w:pStyle w:val="97"/>
        <w:framePr w:w="2284" w:h="1014" w:hRule="exact" w:wrap="around" w:vAnchor="page" w:hAnchor="page" w:x="7252" w:y="1290"/>
      </w:pPr>
      <w:bookmarkStart w:id="3" w:name="c1"/>
      <w:r>
        <w:fldChar w:fldCharType="begin">
          <w:ffData>
            <w:name w:val="c1"/>
            <w:enabled/>
            <w:calcOnExit w:val="0"/>
            <w:entryMacro w:val="ShowHelp15"/>
            <w:textInput>
              <w:maxLength w:val="2"/>
            </w:textInput>
          </w:ffData>
        </w:fldChar>
      </w:r>
      <w:r>
        <w:instrText xml:space="preserve"> FORMTEXT </w:instrText>
      </w:r>
      <w:r>
        <w:fldChar w:fldCharType="separate"/>
      </w:r>
      <w:r>
        <w:rPr>
          <w:rFonts w:hint="eastAsia"/>
        </w:rPr>
        <w:t>JB</w:t>
      </w:r>
      <w:r>
        <w:fldChar w:fldCharType="end"/>
      </w:r>
      <w:bookmarkEnd w:id="3"/>
    </w:p>
    <w:p>
      <w:pPr>
        <w:pStyle w:val="91"/>
        <w:framePr w:w="8356" w:wrap="around" w:x="1699" w:y="2532"/>
      </w:pPr>
      <w:r>
        <w:rPr>
          <w:rFonts w:hint="eastAsia"/>
        </w:rPr>
        <w:t>中华人民共和国</w:t>
      </w:r>
      <w:bookmarkStart w:id="4" w:name="c2"/>
      <w:r>
        <w:fldChar w:fldCharType="begin">
          <w:ffData>
            <w:name w:val="c2"/>
            <w:enabled/>
            <w:calcOnExit w:val="0"/>
            <w:entryMacro w:val="showhelp11"/>
            <w:textInput/>
          </w:ffData>
        </w:fldChar>
      </w:r>
      <w:r>
        <w:instrText xml:space="preserve"> FORMTEXT </w:instrText>
      </w:r>
      <w:r>
        <w:fldChar w:fldCharType="separate"/>
      </w:r>
      <w:r>
        <w:rPr>
          <w:rFonts w:hint="eastAsia"/>
        </w:rPr>
        <w:t>机械</w:t>
      </w:r>
      <w:r>
        <w:fldChar w:fldCharType="end"/>
      </w:r>
      <w:bookmarkEnd w:id="4"/>
      <w:r>
        <w:rPr>
          <w:rFonts w:hint="eastAsia"/>
        </w:rPr>
        <w:t>行业标准</w:t>
      </w:r>
    </w:p>
    <w:p>
      <w:pPr>
        <w:pStyle w:val="155"/>
        <w:framePr w:w="8427" w:wrap="around"/>
      </w:pPr>
      <w:bookmarkStart w:id="5" w:name="StdNo0"/>
      <w:r>
        <w:rPr>
          <w:rFonts w:ascii="Times New Roman"/>
        </w:rPr>
        <w:fldChar w:fldCharType="begin">
          <w:ffData>
            <w:name w:val="StdNo0"/>
            <w:enabled/>
            <w:calcOnExit w:val="0"/>
            <w:textInput>
              <w:default w:val="XX"/>
              <w:maxLength w:val="2"/>
            </w:textInput>
          </w:ffData>
        </w:fldChar>
      </w:r>
      <w:r>
        <w:rPr>
          <w:rFonts w:ascii="Times New Roman"/>
        </w:rPr>
        <w:instrText xml:space="preserve"> FORMTEXT </w:instrText>
      </w:r>
      <w:r>
        <w:rPr>
          <w:rFonts w:ascii="Times New Roman"/>
        </w:rPr>
        <w:fldChar w:fldCharType="separate"/>
      </w:r>
      <w:r>
        <w:rPr>
          <w:rFonts w:hint="eastAsia" w:ascii="Times New Roman"/>
        </w:rPr>
        <w:t>JB</w:t>
      </w:r>
      <w:r>
        <w:rPr>
          <w:rFonts w:ascii="Times New Roman"/>
        </w:rPr>
        <w:fldChar w:fldCharType="end"/>
      </w:r>
      <w:bookmarkEnd w:id="5"/>
      <w:r>
        <w:rPr>
          <w:rFonts w:ascii="Times New Roman"/>
        </w:rPr>
        <w:t xml:space="preserve">/T </w:t>
      </w:r>
      <w:bookmarkStart w:id="6" w:name="StdNo1"/>
      <w:r>
        <w:fldChar w:fldCharType="begin">
          <w:ffData>
            <w:name w:val="StdNo1"/>
            <w:enabled/>
            <w:calcOnExit w:val="0"/>
            <w:textInput>
              <w:default w:val="XXXXX"/>
            </w:textInput>
          </w:ffData>
        </w:fldChar>
      </w:r>
      <w:r>
        <w:instrText xml:space="preserve"> FORMTEXT </w:instrText>
      </w:r>
      <w:r>
        <w:fldChar w:fldCharType="separate"/>
      </w:r>
      <w:r>
        <w:rPr>
          <w:rFonts w:hint="eastAsia"/>
        </w:rPr>
        <w:t>XXXXX</w:t>
      </w:r>
      <w:r>
        <w:fldChar w:fldCharType="end"/>
      </w:r>
      <w:bookmarkEnd w:id="6"/>
      <w:r>
        <w:t>—</w:t>
      </w:r>
      <w:bookmarkStart w:id="7" w:name="StdNo2"/>
      <w:r>
        <w:fldChar w:fldCharType="begin">
          <w:ffData>
            <w:name w:val="StdNo2"/>
            <w:enabled/>
            <w:calcOnExit w:val="0"/>
            <w:textInput>
              <w:default w:val="XXXX"/>
              <w:maxLength w:val="4"/>
            </w:textInput>
          </w:ffData>
        </w:fldChar>
      </w:r>
      <w:r>
        <w:instrText xml:space="preserve"> FORMTEXT </w:instrText>
      </w:r>
      <w:r>
        <w:fldChar w:fldCharType="separate"/>
      </w:r>
      <w:r>
        <w:rPr>
          <w:rFonts w:hint="eastAsia"/>
        </w:rPr>
        <w:t>XXXX</w:t>
      </w:r>
      <w:r>
        <w:fldChar w:fldCharType="end"/>
      </w:r>
      <w:bookmarkEnd w:id="7"/>
    </w:p>
    <w:tbl>
      <w:tblPr>
        <w:tblStyle w:val="4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6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179"/>
              <w:framePr w:w="8427" w:wrap="around"/>
            </w:pPr>
            <w:bookmarkStart w:id="8" w:name="DT"/>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8"/>
          </w:p>
        </w:tc>
      </w:tr>
    </w:tbl>
    <w:p>
      <w:pPr>
        <w:pStyle w:val="155"/>
        <w:framePr w:w="8427" w:wrap="around"/>
      </w:pPr>
    </w:p>
    <w:p>
      <w:pPr>
        <w:pStyle w:val="155"/>
        <w:framePr w:w="8427" w:wrap="around"/>
      </w:pPr>
    </w:p>
    <w:p>
      <w:pPr>
        <w:pStyle w:val="100"/>
        <w:framePr w:wrap="around"/>
      </w:pPr>
      <w:bookmarkStart w:id="9"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冷连轧卧式活套</w:t>
      </w:r>
      <w:r>
        <w:fldChar w:fldCharType="end"/>
      </w:r>
      <w:bookmarkEnd w:id="9"/>
    </w:p>
    <w:p>
      <w:pPr>
        <w:pStyle w:val="99"/>
        <w:framePr w:wrap="around"/>
      </w:pPr>
      <w:bookmarkStart w:id="10"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rPr>
          <w:rFonts w:hint="eastAsia"/>
        </w:rPr>
        <w:t xml:space="preserve">Horizontal Looper for continuous Cold tandem rolling line </w:t>
      </w:r>
      <w:r>
        <w:fldChar w:fldCharType="end"/>
      </w:r>
      <w:bookmarkEnd w:id="10"/>
    </w:p>
    <w:p>
      <w:pPr>
        <w:pStyle w:val="98"/>
        <w:framePr w:wrap="around"/>
      </w:pPr>
      <w:bookmarkStart w:id="11"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在提交反馈意见时，请将您知道的相关专利连同支持性文件一并附上。</w:t>
      </w:r>
      <w:r>
        <w:fldChar w:fldCharType="end"/>
      </w:r>
      <w:bookmarkEnd w:id="11"/>
    </w:p>
    <w:tbl>
      <w:tblPr>
        <w:tblStyle w:val="4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117"/>
              <w:framePr w:wrap="around"/>
            </w:pPr>
            <w:r>
              <mc:AlternateContent>
                <mc:Choice Requires="wps">
                  <w:drawing>
                    <wp:anchor distT="0" distB="0" distL="114300" distR="114300" simplePos="0" relativeHeight="251662336" behindDoc="1" locked="1" layoutInCell="1" allowOverlap="1">
                      <wp:simplePos x="0" y="0"/>
                      <wp:positionH relativeFrom="column">
                        <wp:posOffset>2200910</wp:posOffset>
                      </wp:positionH>
                      <wp:positionV relativeFrom="paragraph">
                        <wp:posOffset>4281805</wp:posOffset>
                      </wp:positionV>
                      <wp:extent cx="1905000" cy="254000"/>
                      <wp:effectExtent l="0" t="0" r="0" b="508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pt;margin-top:337.15pt;height:20pt;width:150pt;z-index:-251654144;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f1/fg1wAAAAsB&#10;AAAPAAAAAAAAAAEAIAAAACIAAABkcnMvZG93bnJldi54bWxQSwECFAAUAAAACACHTuJAjWJ5laoB&#10;AABnAwAADgAAAAAAAAABACAAAAAmAQAAZHJzL2Uyb0RvYy54bWxQSwUGAAAAAAYABgBZAQAAQgUA&#10;AAAA&#10;">
                      <v:fill on="t" focussize="0,0"/>
                      <v:stroke on="f"/>
                      <v:imagedata o:title=""/>
                      <o:lock v:ext="edit" aspectratio="f"/>
                      <w10:anchorlock/>
                    </v:rect>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instrText xml:space="preserve"> FORMDROPDOWN </w:instrText>
            </w:r>
            <w:r>
              <w:fldChar w:fldCharType="separate"/>
            </w:r>
            <w:r>
              <w:fldChar w:fldCharType="end"/>
            </w:r>
            <w:bookmarkEnd w:id="1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127"/>
              <w:framePr w:wrap="around"/>
            </w:pPr>
            <w:bookmarkStart w:id="13" w:name="WCRQ"/>
            <w:r>
              <w:fldChar w:fldCharType="begin">
                <w:ffData>
                  <w:name w:val="WCRQ"/>
                  <w:enabled/>
                  <w:calcOnExit w:val="0"/>
                  <w:textInput/>
                </w:ffData>
              </w:fldChar>
            </w:r>
            <w:r>
              <w:instrText xml:space="preserve"> FORMTEXT </w:instrText>
            </w:r>
            <w:r>
              <w:fldChar w:fldCharType="separate"/>
            </w:r>
            <w:r>
              <w:t>     </w:t>
            </w:r>
            <w:r>
              <w:fldChar w:fldCharType="end"/>
            </w:r>
            <w:bookmarkEnd w:id="13"/>
          </w:p>
        </w:tc>
      </w:tr>
    </w:tbl>
    <w:p>
      <w:pPr>
        <w:pStyle w:val="170"/>
        <w:framePr w:wrap="around" w:hAnchor="page" w:x="1793" w:y="14076"/>
      </w:pPr>
      <w:bookmarkStart w:id="14"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5"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r>
        <mc:AlternateContent>
          <mc:Choice Requires="wps">
            <w:drawing>
              <wp:anchor distT="0" distB="0" distL="114300" distR="114300" simplePos="0" relativeHeight="251664384" behindDoc="0" locked="1" layoutInCell="1" allowOverlap="1">
                <wp:simplePos x="0" y="0"/>
                <wp:positionH relativeFrom="column">
                  <wp:posOffset>-635</wp:posOffset>
                </wp:positionH>
                <wp:positionV relativeFrom="page">
                  <wp:posOffset>9251950</wp:posOffset>
                </wp:positionV>
                <wp:extent cx="5361305" cy="5080"/>
                <wp:effectExtent l="0" t="0" r="0" b="0"/>
                <wp:wrapNone/>
                <wp:docPr id="5" name="直线 10"/>
                <wp:cNvGraphicFramePr/>
                <a:graphic xmlns:a="http://schemas.openxmlformats.org/drawingml/2006/main">
                  <a:graphicData uri="http://schemas.microsoft.com/office/word/2010/wordprocessingShape">
                    <wps:wsp>
                      <wps:cNvCnPr/>
                      <wps:spPr>
                        <a:xfrm>
                          <a:off x="0" y="0"/>
                          <a:ext cx="5361305" cy="508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0.05pt;margin-top:728.5pt;height:0.4pt;width:422.15pt;mso-position-vertical-relative:page;z-index:251664384;mso-width-relative:page;mso-height-relative:page;" filled="f" stroked="t" coordsize="21600,21600" o:gfxdata="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VyUWNcAAAALAQAA&#10;DwAAAAAAAAABACAAAAAiAAAAZHJzL2Rvd25yZXYueG1sUEsBAhQAFAAAAAgAh07iQBBegOjhAQAA&#10;0wMAAA4AAAAAAAAAAQAgAAAAJgEAAGRycy9lMm9Eb2MueG1sUEsFBgAAAAAGAAYAWQEAAHkFAAAA&#10;AA==&#10;">
                <v:fill on="f" focussize="0,0"/>
                <v:stroke color="#000000" joinstyle="round"/>
                <v:imagedata o:title=""/>
                <o:lock v:ext="edit" aspectratio="f"/>
                <w10:anchorlock/>
              </v:line>
            </w:pict>
          </mc:Fallback>
        </mc:AlternateContent>
      </w:r>
    </w:p>
    <w:p>
      <w:pPr>
        <w:pStyle w:val="189"/>
        <w:framePr w:wrap="around" w:hAnchor="page" w:x="7877" w:y="14075"/>
        <w:jc w:val="both"/>
      </w:pPr>
      <w:bookmarkStart w:id="16"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bookmarkStart w:id="17"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bookmarkStart w:id="18"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8"/>
        <w:framePr w:wrap="around"/>
      </w:pPr>
      <w:bookmarkStart w:id="19" w:name="fm"/>
      <w:r>
        <w:rPr>
          <w:w w:val="100"/>
        </w:rPr>
        <mc:AlternateContent>
          <mc:Choice Requires="wps">
            <w:drawing>
              <wp:anchor distT="0" distB="0" distL="114300" distR="114300" simplePos="0" relativeHeight="251661312" behindDoc="1" locked="0" layoutInCell="1" allowOverlap="1">
                <wp:simplePos x="0" y="0"/>
                <wp:positionH relativeFrom="column">
                  <wp:posOffset>1810385</wp:posOffset>
                </wp:positionH>
                <wp:positionV relativeFrom="paragraph">
                  <wp:posOffset>-3942715</wp:posOffset>
                </wp:positionV>
                <wp:extent cx="1270000" cy="304800"/>
                <wp:effectExtent l="0" t="0" r="1016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42.55pt;margin-top:-310.45pt;height:24pt;width:100pt;z-index:-251655168;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bXu1tkAAAAN&#10;AQAADwAAAAAAAAABACAAAAAiAAAAZHJzL2Rvd25yZXYueG1sUEsBAhQAFAAAAAgAh07iQBXfBLqp&#10;AQAAZwMAAA4AAAAAAAAAAQAgAAAAKAEAAGRycy9lMm9Eb2MueG1sUEsFBgAAAAAGAAYAWQEAAEMF&#10;AAA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60288"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47.55pt;margin-top:-585.45pt;height:18pt;width:90pt;z-index:-251656192;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fyYoR2gAA&#10;AA8BAAAPAAAAAAAAAAEAIAAAACIAAABkcnMvZG93bnJldi54bWxQSwECFAAUAAAACACHTuJA9p9R&#10;CqoBAABnAwAADgAAAAAAAAABACAAAAApAQAAZHJzL2Uyb0RvYy54bWxQSwUGAAAAAAYABgBZAQAA&#10;RQUAA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65408" behindDoc="0" locked="0" layoutInCell="1" allowOverlap="1">
                <wp:simplePos x="0" y="0"/>
                <wp:positionH relativeFrom="column">
                  <wp:posOffset>-464820</wp:posOffset>
                </wp:positionH>
                <wp:positionV relativeFrom="paragraph">
                  <wp:posOffset>-7021195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36.6pt;margin-top:-552.85pt;height:0pt;width:481.9pt;z-index:251665408;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7JZGg2AAAAA8BAAAP&#10;AAAAAAAAAAEAIAAAACIAAABkcnMvZG93bnJldi54bWxQSwECFAAUAAAACACHTuJAMqrHrd8BAADQ&#10;AwAADgAAAAAAAAABACAAAAAnAQAAZHJzL2Uyb0RvYy54bWxQSwUGAAAAAAYABgBZAQAAeAUAAAAA&#10;">
                <v:fill on="f" focussize="0,0"/>
                <v:stroke color="#000000" joinstyle="round"/>
                <v:imagedata o:title=""/>
                <o:lock v:ext="edit" aspectratio="f"/>
              </v:line>
            </w:pict>
          </mc:Fallback>
        </mc:AlternateContent>
      </w:r>
      <w:r>
        <w:fldChar w:fldCharType="begin">
          <w:ffData>
            <w:name w:val="fm"/>
            <w:enabled/>
            <w:calcOnExit w:val="0"/>
            <w:textInput/>
          </w:ffData>
        </w:fldChar>
      </w:r>
      <w:r>
        <w:instrText xml:space="preserve"> FORMTEXT </w:instrText>
      </w:r>
      <w:r>
        <w:fldChar w:fldCharType="separate"/>
      </w:r>
      <w:r>
        <w:rPr>
          <w:rFonts w:hint="eastAsia"/>
        </w:rPr>
        <w:t>中华人民共和国工业和信息化部</w:t>
      </w:r>
      <w:r>
        <w:fldChar w:fldCharType="end"/>
      </w:r>
      <w:bookmarkEnd w:id="19"/>
      <w:r>
        <w:t>   </w:t>
      </w:r>
      <w:r>
        <w:rPr>
          <w:rStyle w:val="79"/>
          <w:rFonts w:hint="eastAsia"/>
        </w:rPr>
        <w:t>发布</w:t>
      </w:r>
    </w:p>
    <w:p>
      <w:pPr>
        <w:pStyle w:val="70"/>
        <w:sectPr>
          <w:pgSz w:w="11906" w:h="16838"/>
          <w:pgMar w:top="1440" w:right="1800" w:bottom="1440" w:left="1800" w:header="851" w:footer="992" w:gutter="0"/>
          <w:cols w:space="425" w:num="1"/>
          <w:docGrid w:type="lines" w:linePitch="312" w:charSpace="0"/>
        </w:sectPr>
      </w:pPr>
      <w:r>
        <mc:AlternateContent>
          <mc:Choice Requires="wps">
            <w:drawing>
              <wp:anchor distT="0" distB="0" distL="114300" distR="114300" simplePos="0" relativeHeight="251666432" behindDoc="0" locked="0" layoutInCell="1" allowOverlap="1">
                <wp:simplePos x="0" y="0"/>
                <wp:positionH relativeFrom="column">
                  <wp:posOffset>-3810</wp:posOffset>
                </wp:positionH>
                <wp:positionV relativeFrom="paragraph">
                  <wp:posOffset>8326755</wp:posOffset>
                </wp:positionV>
                <wp:extent cx="5291455" cy="8255"/>
                <wp:effectExtent l="0" t="0" r="23495" b="29845"/>
                <wp:wrapNone/>
                <wp:docPr id="346574731" name="直接连接符 1"/>
                <wp:cNvGraphicFramePr/>
                <a:graphic xmlns:a="http://schemas.openxmlformats.org/drawingml/2006/main">
                  <a:graphicData uri="http://schemas.microsoft.com/office/word/2010/wordprocessingShape">
                    <wps:wsp>
                      <wps:cNvCnPr/>
                      <wps:spPr>
                        <a:xfrm flipV="1">
                          <a:off x="0" y="0"/>
                          <a:ext cx="5291667" cy="846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1" o:spid="_x0000_s1026" o:spt="20" style="position:absolute;left:0pt;flip:y;margin-left:-0.3pt;margin-top:655.65pt;height:0.65pt;width:416.65pt;z-index:251666432;mso-width-relative:page;mso-height-relative:page;" filled="f" stroked="t" coordsize="21600,21600" o:gfxdata="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eDI3TYAAAACwEAAA8AAAAAAAAAAQAgAAAAIgAAAGRycy9kb3ducmV2LnhtbFBLAQIU&#10;ABQAAAAIAIdO4kAzxdf68wEAAMYDAAAOAAAAAAAAAAEAIAAAACcBAABkcnMvZTJvRG9jLnhtbFBL&#10;BQYAAAAABgAGAFkBAACMBQAAAAA=&#10;">
                <v:fill on="f" focussize="0,0"/>
                <v:stroke weight="0.5pt" color="#000000 [3213]" miterlimit="8" joinstyle="miter"/>
                <v:imagedata o:title=""/>
                <o:lock v:ext="edit" aspectratio="f"/>
              </v:line>
            </w:pict>
          </mc:Fallback>
        </mc:AlternateContent>
      </w:r>
    </w:p>
    <w:p>
      <w:pPr>
        <w:pStyle w:val="145"/>
        <w:ind w:right="-2"/>
        <w:rPr>
          <w:rFonts w:ascii="Arial" w:hAnsi="Arial" w:cs="Arial"/>
        </w:rPr>
      </w:pPr>
      <w:bookmarkStart w:id="20" w:name="_Toc31558"/>
      <w:bookmarkStart w:id="21" w:name="_Toc140329315"/>
      <w:bookmarkStart w:id="22" w:name="_Toc322932366"/>
      <w:bookmarkStart w:id="23" w:name="_Toc438467474"/>
      <w:bookmarkStart w:id="24" w:name="_Toc321808228"/>
      <w:bookmarkStart w:id="25" w:name="_Toc7147"/>
      <w:bookmarkStart w:id="26" w:name="_Toc31998"/>
      <w:bookmarkStart w:id="27" w:name="_Toc320608244"/>
      <w:bookmarkStart w:id="28" w:name="_Toc320606086"/>
      <w:bookmarkStart w:id="29" w:name="_Toc320605959"/>
      <w:bookmarkStart w:id="30" w:name="_Toc320607611"/>
      <w:bookmarkStart w:id="31" w:name="_Toc320607917"/>
      <w:bookmarkStart w:id="32" w:name="_Toc320608620"/>
      <w:bookmarkStart w:id="33" w:name="_Toc320608534"/>
      <w:bookmarkStart w:id="34" w:name="_Toc320607301"/>
      <w:bookmarkStart w:id="35" w:name="_Toc320605882"/>
      <w:r>
        <w:rPr>
          <w:rFonts w:hint="eastAsia" w:hAnsi="黑体" w:cs="黑体"/>
        </w:rPr>
        <w:t>目</w:t>
      </w:r>
      <w:bookmarkStart w:id="36" w:name="BKML"/>
      <w:r>
        <w:rPr>
          <w:rFonts w:hint="eastAsia" w:hAnsi="黑体" w:cs="黑体"/>
        </w:rPr>
        <w:t xml:space="preserve">  </w:t>
      </w:r>
      <w:r>
        <w:rPr>
          <w:rFonts w:hAnsi="黑体" w:cs="黑体"/>
        </w:rPr>
        <w:t xml:space="preserve">  </w:t>
      </w:r>
      <w:r>
        <w:rPr>
          <w:rFonts w:hint="eastAsia" w:hAnsi="黑体" w:cs="黑体"/>
        </w:rPr>
        <w:t>次</w:t>
      </w:r>
      <w:bookmarkEnd w:id="20"/>
      <w:bookmarkEnd w:id="21"/>
      <w:bookmarkEnd w:id="22"/>
      <w:bookmarkEnd w:id="23"/>
      <w:bookmarkEnd w:id="24"/>
      <w:bookmarkEnd w:id="36"/>
      <w:r>
        <w:rPr>
          <w:rFonts w:hAnsi="宋体"/>
        </w:rPr>
        <w:fldChar w:fldCharType="begin" w:fldLock="1"/>
      </w:r>
      <w:r>
        <w:rPr>
          <w:rFonts w:hAnsi="宋体"/>
        </w:rPr>
        <w:instrText xml:space="preserve"> </w:instrText>
      </w:r>
      <w:r>
        <w:rPr>
          <w:rFonts w:hint="eastAsia" w:hAnsi="宋体"/>
        </w:rPr>
        <w:instrText xml:space="preserve">TOC \h \z \t"前言、引言标题,1,参考文献、索引标题,1,章标题,1,参考文献,1,附录标识,1,一级条标题, 3,二级条标题, 4,三级条标题, 5" \* MERGEFORMAT</w:instrText>
      </w:r>
      <w:r>
        <w:rPr>
          <w:rFonts w:hAnsi="宋体"/>
        </w:rPr>
        <w:instrText xml:space="preserve"> </w:instrText>
      </w:r>
      <w:r>
        <w:rPr>
          <w:rFonts w:hAnsi="宋体"/>
        </w:rPr>
        <w:fldChar w:fldCharType="separate"/>
      </w:r>
      <w:bookmarkEnd w:id="25"/>
      <w:bookmarkEnd w:id="26"/>
    </w:p>
    <w:p>
      <w:pPr>
        <w:pStyle w:val="70"/>
        <w:rPr>
          <w:rFonts w:hAnsi="宋体"/>
        </w:rPr>
      </w:pPr>
      <w:r>
        <w:rPr>
          <w:rFonts w:hAnsi="宋体"/>
        </w:rPr>
        <w:fldChar w:fldCharType="end"/>
      </w:r>
    </w:p>
    <w:sdt>
      <w:sdtPr>
        <w:rPr>
          <w:rFonts w:ascii="宋体" w:hAnsi="宋体" w:eastAsia="宋体"/>
        </w:rPr>
        <w:id w:val="147474002"/>
        <w15:color w:val="DBDBDB"/>
        <w:docPartObj>
          <w:docPartGallery w:val="Table of Contents"/>
          <w:docPartUnique/>
        </w:docPartObj>
      </w:sdtPr>
      <w:sdtEndPr>
        <w:rPr>
          <w:rFonts w:ascii="宋体" w:hAnsi="宋体" w:eastAsia="宋体"/>
          <w:b/>
        </w:rPr>
      </w:sdtEndPr>
      <w:sdtContent>
        <w:p>
          <w:pPr>
            <w:jc w:val="center"/>
          </w:pPr>
        </w:p>
        <w:p>
          <w:pPr>
            <w:pStyle w:val="29"/>
            <w:tabs>
              <w:tab w:val="right" w:leader="dot" w:pos="9354"/>
              <w:tab w:val="clear" w:pos="9241"/>
            </w:tabs>
            <w:spacing w:before="78" w:after="78"/>
            <w:rPr>
              <w:rFonts w:hAnsi="宋体" w:cs="宋体"/>
            </w:rPr>
          </w:pPr>
          <w:r>
            <w:rPr>
              <w:rFonts w:hint="eastAsia" w:hAnsi="宋体" w:cs="宋体"/>
            </w:rPr>
            <w:fldChar w:fldCharType="begin"/>
          </w:r>
          <w:r>
            <w:rPr>
              <w:rFonts w:hint="eastAsia" w:hAnsi="宋体" w:cs="宋体"/>
            </w:rPr>
            <w:instrText xml:space="preserve">TOC \o "1-2" \h \u </w:instrText>
          </w:r>
          <w:r>
            <w:rPr>
              <w:rFonts w:hint="eastAsia" w:hAnsi="宋体" w:cs="宋体"/>
            </w:rPr>
            <w:fldChar w:fldCharType="separate"/>
          </w:r>
          <w:r>
            <w:fldChar w:fldCharType="begin"/>
          </w:r>
          <w:r>
            <w:instrText xml:space="preserve"> HYPERLINK \l "_Toc30757" </w:instrText>
          </w:r>
          <w:r>
            <w:fldChar w:fldCharType="separate"/>
          </w:r>
          <w:r>
            <w:rPr>
              <w:rFonts w:hint="eastAsia" w:hAnsi="宋体" w:cs="宋体"/>
            </w:rPr>
            <w:t>前言</w:t>
          </w:r>
          <w:r>
            <w:rPr>
              <w:rFonts w:hint="eastAsia" w:hAnsi="宋体" w:cs="宋体"/>
            </w:rPr>
            <w:tab/>
          </w:r>
          <w:r>
            <w:rPr>
              <w:rFonts w:hint="eastAsia" w:hAnsi="宋体" w:cs="宋体"/>
            </w:rPr>
            <w:t>Ⅱ</w:t>
          </w:r>
          <w:r>
            <w:rPr>
              <w:rFonts w:hint="eastAsia" w:hAnsi="宋体" w:cs="宋体"/>
            </w:rPr>
            <w:fldChar w:fldCharType="end"/>
          </w:r>
        </w:p>
        <w:p>
          <w:pPr>
            <w:pStyle w:val="37"/>
            <w:tabs>
              <w:tab w:val="right" w:leader="dot" w:pos="9354"/>
              <w:tab w:val="clear" w:pos="9241"/>
            </w:tabs>
            <w:spacing w:before="78" w:beforeLines="25" w:after="78" w:afterLines="25"/>
            <w:rPr>
              <w:rFonts w:hAnsi="宋体" w:cs="宋体"/>
            </w:rPr>
          </w:pPr>
          <w:r>
            <w:fldChar w:fldCharType="begin"/>
          </w:r>
          <w:r>
            <w:instrText xml:space="preserve"> HYPERLINK \l "_Toc11451" </w:instrText>
          </w:r>
          <w:r>
            <w:fldChar w:fldCharType="separate"/>
          </w:r>
          <w:r>
            <w:rPr>
              <w:rFonts w:hint="eastAsia" w:hAnsi="宋体" w:cs="宋体"/>
            </w:rPr>
            <w:t>1  范围</w:t>
          </w:r>
          <w:r>
            <w:rPr>
              <w:rFonts w:hint="eastAsia" w:hAnsi="宋体" w:cs="宋体"/>
            </w:rPr>
            <w:tab/>
          </w:r>
          <w:r>
            <w:rPr>
              <w:rFonts w:hint="eastAsia" w:hAnsi="宋体" w:cs="宋体"/>
            </w:rPr>
            <w:fldChar w:fldCharType="begin"/>
          </w:r>
          <w:r>
            <w:rPr>
              <w:rFonts w:hint="eastAsia" w:hAnsi="宋体" w:cs="宋体"/>
            </w:rPr>
            <w:instrText xml:space="preserve"> PAGEREF _Toc11451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37"/>
            <w:tabs>
              <w:tab w:val="right" w:leader="dot" w:pos="9354"/>
              <w:tab w:val="clear" w:pos="9241"/>
            </w:tabs>
            <w:spacing w:before="78" w:beforeLines="25" w:after="78" w:afterLines="25"/>
            <w:rPr>
              <w:rFonts w:hAnsi="宋体" w:cs="宋体"/>
            </w:rPr>
          </w:pPr>
          <w:r>
            <w:fldChar w:fldCharType="begin"/>
          </w:r>
          <w:r>
            <w:instrText xml:space="preserve"> HYPERLINK \l "_Toc30989" </w:instrText>
          </w:r>
          <w:r>
            <w:fldChar w:fldCharType="separate"/>
          </w:r>
          <w:r>
            <w:rPr>
              <w:rFonts w:hint="eastAsia" w:hAnsi="宋体" w:cs="宋体"/>
            </w:rPr>
            <w:t>2  规范性引用文件</w:t>
          </w:r>
          <w:r>
            <w:rPr>
              <w:rFonts w:hint="eastAsia" w:hAnsi="宋体" w:cs="宋体"/>
            </w:rPr>
            <w:tab/>
          </w:r>
          <w:r>
            <w:rPr>
              <w:rFonts w:hint="eastAsia" w:hAnsi="宋体" w:cs="宋体"/>
            </w:rPr>
            <w:fldChar w:fldCharType="begin"/>
          </w:r>
          <w:r>
            <w:rPr>
              <w:rFonts w:hint="eastAsia" w:hAnsi="宋体" w:cs="宋体"/>
            </w:rPr>
            <w:instrText xml:space="preserve"> PAGEREF _Toc30989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37"/>
            <w:tabs>
              <w:tab w:val="right" w:leader="dot" w:pos="9354"/>
              <w:tab w:val="clear" w:pos="9241"/>
            </w:tabs>
            <w:spacing w:before="78" w:beforeLines="25" w:after="78" w:afterLines="25"/>
            <w:rPr>
              <w:rFonts w:hAnsi="宋体" w:cs="宋体"/>
            </w:rPr>
          </w:pPr>
          <w:r>
            <w:fldChar w:fldCharType="begin"/>
          </w:r>
          <w:r>
            <w:instrText xml:space="preserve"> HYPERLINK \l "_Toc329" </w:instrText>
          </w:r>
          <w:r>
            <w:fldChar w:fldCharType="separate"/>
          </w:r>
          <w:r>
            <w:rPr>
              <w:rFonts w:hint="eastAsia" w:hAnsi="宋体" w:cs="宋体"/>
            </w:rPr>
            <w:t>3  术语和定义</w:t>
          </w:r>
          <w:r>
            <w:rPr>
              <w:rFonts w:hint="eastAsia" w:hAnsi="宋体" w:cs="宋体"/>
            </w:rPr>
            <w:tab/>
          </w:r>
          <w:r>
            <w:rPr>
              <w:rFonts w:hint="eastAsia" w:hAnsi="宋体" w:cs="宋体"/>
            </w:rPr>
            <w:fldChar w:fldCharType="begin"/>
          </w:r>
          <w:r>
            <w:rPr>
              <w:rFonts w:hint="eastAsia" w:hAnsi="宋体" w:cs="宋体"/>
            </w:rPr>
            <w:instrText xml:space="preserve"> PAGEREF _Toc329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37"/>
            <w:tabs>
              <w:tab w:val="right" w:leader="dot" w:pos="9354"/>
              <w:tab w:val="clear" w:pos="9241"/>
            </w:tabs>
            <w:spacing w:before="78" w:beforeLines="25" w:after="78" w:afterLines="25"/>
            <w:rPr>
              <w:rFonts w:hAnsi="宋体" w:cs="宋体"/>
            </w:rPr>
          </w:pPr>
          <w:r>
            <w:fldChar w:fldCharType="begin"/>
          </w:r>
          <w:r>
            <w:instrText xml:space="preserve"> HYPERLINK \l "_Toc24234" </w:instrText>
          </w:r>
          <w:r>
            <w:fldChar w:fldCharType="separate"/>
          </w:r>
          <w:r>
            <w:rPr>
              <w:rFonts w:hint="eastAsia" w:hAnsi="宋体" w:cs="宋体"/>
            </w:rPr>
            <w:t>4  基本型式和标记</w:t>
          </w:r>
          <w:r>
            <w:rPr>
              <w:rFonts w:hint="eastAsia" w:hAnsi="宋体" w:cs="宋体"/>
            </w:rPr>
            <w:tab/>
          </w:r>
          <w:r>
            <w:rPr>
              <w:rFonts w:hint="eastAsia" w:hAnsi="宋体" w:cs="宋体"/>
            </w:rPr>
            <w:fldChar w:fldCharType="begin"/>
          </w:r>
          <w:r>
            <w:rPr>
              <w:rFonts w:hint="eastAsia" w:hAnsi="宋体" w:cs="宋体"/>
            </w:rPr>
            <w:instrText xml:space="preserve"> PAGEREF _Toc24234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37"/>
            <w:tabs>
              <w:tab w:val="right" w:leader="dot" w:pos="9354"/>
              <w:tab w:val="clear" w:pos="9241"/>
            </w:tabs>
            <w:ind w:firstLine="210" w:firstLineChars="100"/>
            <w:rPr>
              <w:rFonts w:hAnsi="宋体" w:cs="宋体"/>
            </w:rPr>
          </w:pPr>
          <w:r>
            <w:fldChar w:fldCharType="begin"/>
          </w:r>
          <w:r>
            <w:instrText xml:space="preserve"> HYPERLINK \l "_Toc27449" </w:instrText>
          </w:r>
          <w:r>
            <w:fldChar w:fldCharType="separate"/>
          </w:r>
          <w:r>
            <w:rPr>
              <w:rFonts w:hint="eastAsia" w:hAnsi="宋体" w:cs="宋体"/>
              <w:kern w:val="0"/>
            </w:rPr>
            <w:t xml:space="preserve">4.1  </w:t>
          </w:r>
          <w:r>
            <w:rPr>
              <w:rFonts w:hint="eastAsia" w:hAnsi="宋体" w:cs="宋体"/>
            </w:rPr>
            <w:t>基本型式</w:t>
          </w:r>
          <w:r>
            <w:rPr>
              <w:rFonts w:hint="eastAsia" w:hAnsi="宋体" w:cs="宋体"/>
            </w:rPr>
            <w:tab/>
          </w:r>
          <w:r>
            <w:rPr>
              <w:rFonts w:hint="eastAsia" w:hAnsi="宋体" w:cs="宋体"/>
            </w:rPr>
            <w:fldChar w:fldCharType="begin"/>
          </w:r>
          <w:r>
            <w:rPr>
              <w:rFonts w:hint="eastAsia" w:hAnsi="宋体" w:cs="宋体"/>
            </w:rPr>
            <w:instrText xml:space="preserve"> PAGEREF _Toc27449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37"/>
            <w:tabs>
              <w:tab w:val="right" w:leader="dot" w:pos="9354"/>
              <w:tab w:val="clear" w:pos="9241"/>
            </w:tabs>
            <w:ind w:firstLine="210" w:firstLineChars="100"/>
            <w:rPr>
              <w:rFonts w:hAnsi="宋体" w:cs="宋体"/>
            </w:rPr>
          </w:pPr>
          <w:r>
            <w:fldChar w:fldCharType="begin"/>
          </w:r>
          <w:r>
            <w:instrText xml:space="preserve"> HYPERLINK \l "_Toc680" </w:instrText>
          </w:r>
          <w:r>
            <w:fldChar w:fldCharType="separate"/>
          </w:r>
          <w:r>
            <w:rPr>
              <w:rFonts w:hint="eastAsia" w:hAnsi="宋体" w:cs="宋体"/>
              <w:kern w:val="0"/>
            </w:rPr>
            <w:t xml:space="preserve">4.2 </w:t>
          </w:r>
          <w:r>
            <w:rPr>
              <w:rFonts w:hint="eastAsia" w:hAnsi="宋体" w:cs="宋体"/>
            </w:rPr>
            <w:t xml:space="preserve"> 标记</w:t>
          </w:r>
          <w:r>
            <w:rPr>
              <w:rFonts w:hint="eastAsia" w:hAnsi="宋体" w:cs="宋体"/>
            </w:rPr>
            <w:tab/>
          </w:r>
          <w:r>
            <w:rPr>
              <w:rFonts w:hint="eastAsia" w:hAnsi="宋体" w:cs="宋体"/>
            </w:rPr>
            <w:fldChar w:fldCharType="begin"/>
          </w:r>
          <w:r>
            <w:rPr>
              <w:rFonts w:hint="eastAsia" w:hAnsi="宋体" w:cs="宋体"/>
            </w:rPr>
            <w:instrText xml:space="preserve"> PAGEREF _Toc680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37"/>
            <w:tabs>
              <w:tab w:val="right" w:leader="dot" w:pos="9354"/>
              <w:tab w:val="clear" w:pos="9241"/>
            </w:tabs>
            <w:spacing w:before="78" w:beforeLines="25" w:after="78" w:afterLines="25"/>
            <w:rPr>
              <w:rFonts w:hAnsi="宋体" w:cs="宋体"/>
            </w:rPr>
          </w:pPr>
          <w:r>
            <w:fldChar w:fldCharType="begin"/>
          </w:r>
          <w:r>
            <w:instrText xml:space="preserve"> HYPERLINK \l "_Toc17270" </w:instrText>
          </w:r>
          <w:r>
            <w:fldChar w:fldCharType="separate"/>
          </w:r>
          <w:r>
            <w:rPr>
              <w:rFonts w:hint="eastAsia" w:hAnsi="宋体" w:cs="宋体"/>
            </w:rPr>
            <w:t>5  基本参数</w:t>
          </w:r>
          <w:r>
            <w:rPr>
              <w:rFonts w:hint="eastAsia" w:hAnsi="宋体" w:cs="宋体"/>
            </w:rPr>
            <w:tab/>
          </w:r>
          <w:r>
            <w:rPr>
              <w:rFonts w:hint="eastAsia" w:hAnsi="宋体" w:cs="宋体"/>
            </w:rPr>
            <w:fldChar w:fldCharType="begin"/>
          </w:r>
          <w:r>
            <w:rPr>
              <w:rFonts w:hint="eastAsia" w:hAnsi="宋体" w:cs="宋体"/>
            </w:rPr>
            <w:instrText xml:space="preserve"> PAGEREF _Toc17270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pPr>
            <w:pStyle w:val="37"/>
            <w:tabs>
              <w:tab w:val="right" w:leader="dot" w:pos="9354"/>
              <w:tab w:val="clear" w:pos="9241"/>
            </w:tabs>
            <w:spacing w:before="78" w:beforeLines="25" w:after="78" w:afterLines="25"/>
            <w:rPr>
              <w:rFonts w:hAnsi="宋体" w:cs="宋体"/>
            </w:rPr>
          </w:pPr>
          <w:r>
            <w:fldChar w:fldCharType="begin"/>
          </w:r>
          <w:r>
            <w:instrText xml:space="preserve"> HYPERLINK \l "_Toc28782" </w:instrText>
          </w:r>
          <w:r>
            <w:fldChar w:fldCharType="separate"/>
          </w:r>
          <w:r>
            <w:rPr>
              <w:rFonts w:hint="eastAsia" w:hAnsi="宋体" w:cs="宋体"/>
            </w:rPr>
            <w:t>6  技术要求</w:t>
          </w:r>
          <w:r>
            <w:rPr>
              <w:rFonts w:hint="eastAsia" w:hAnsi="宋体" w:cs="宋体"/>
            </w:rPr>
            <w:tab/>
          </w:r>
          <w:r>
            <w:rPr>
              <w:rFonts w:hint="eastAsia" w:hAnsi="宋体" w:cs="宋体"/>
            </w:rPr>
            <w:fldChar w:fldCharType="begin"/>
          </w:r>
          <w:r>
            <w:rPr>
              <w:rFonts w:hint="eastAsia" w:hAnsi="宋体" w:cs="宋体"/>
            </w:rPr>
            <w:instrText xml:space="preserve"> PAGEREF _Toc28782 \h </w:instrText>
          </w:r>
          <w:r>
            <w:rPr>
              <w:rFonts w:hint="eastAsia" w:hAnsi="宋体" w:cs="宋体"/>
            </w:rPr>
            <w:fldChar w:fldCharType="separate"/>
          </w:r>
          <w:r>
            <w:rPr>
              <w:rFonts w:hint="eastAsia" w:hAnsi="宋体" w:cs="宋体"/>
            </w:rPr>
            <w:t>4</w:t>
          </w:r>
          <w:r>
            <w:rPr>
              <w:rFonts w:hint="eastAsia" w:hAnsi="宋体" w:cs="宋体"/>
            </w:rPr>
            <w:fldChar w:fldCharType="end"/>
          </w:r>
          <w:r>
            <w:rPr>
              <w:rFonts w:hint="eastAsia" w:hAnsi="宋体" w:cs="宋体"/>
            </w:rPr>
            <w:fldChar w:fldCharType="end"/>
          </w:r>
        </w:p>
        <w:p>
          <w:pPr>
            <w:pStyle w:val="37"/>
            <w:tabs>
              <w:tab w:val="right" w:leader="dot" w:pos="9354"/>
              <w:tab w:val="clear" w:pos="9241"/>
            </w:tabs>
            <w:ind w:firstLine="210" w:firstLineChars="100"/>
            <w:rPr>
              <w:rFonts w:hAnsi="宋体" w:cs="宋体"/>
            </w:rPr>
          </w:pPr>
          <w:r>
            <w:fldChar w:fldCharType="begin"/>
          </w:r>
          <w:r>
            <w:instrText xml:space="preserve"> HYPERLINK \l "_Toc19788" </w:instrText>
          </w:r>
          <w:r>
            <w:fldChar w:fldCharType="separate"/>
          </w:r>
          <w:r>
            <w:rPr>
              <w:rFonts w:hint="eastAsia" w:hAnsi="宋体" w:cs="宋体"/>
              <w:kern w:val="0"/>
            </w:rPr>
            <w:t xml:space="preserve">6.1  </w:t>
          </w:r>
          <w:r>
            <w:rPr>
              <w:rFonts w:hint="eastAsia" w:hAnsi="宋体" w:cs="宋体"/>
            </w:rPr>
            <w:t>通用要求</w:t>
          </w:r>
          <w:r>
            <w:rPr>
              <w:rFonts w:hint="eastAsia" w:hAnsi="宋体" w:cs="宋体"/>
            </w:rPr>
            <w:tab/>
          </w:r>
          <w:r>
            <w:rPr>
              <w:rFonts w:hint="eastAsia" w:hAnsi="宋体" w:cs="宋体"/>
            </w:rPr>
            <w:fldChar w:fldCharType="begin"/>
          </w:r>
          <w:r>
            <w:rPr>
              <w:rFonts w:hint="eastAsia" w:hAnsi="宋体" w:cs="宋体"/>
            </w:rPr>
            <w:instrText xml:space="preserve"> PAGEREF _Toc19788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pPr>
            <w:pStyle w:val="37"/>
            <w:tabs>
              <w:tab w:val="right" w:leader="dot" w:pos="9354"/>
              <w:tab w:val="clear" w:pos="9241"/>
            </w:tabs>
            <w:ind w:firstLine="210" w:firstLineChars="100"/>
            <w:rPr>
              <w:rFonts w:hAnsi="宋体" w:cs="宋体"/>
            </w:rPr>
          </w:pPr>
          <w:r>
            <w:fldChar w:fldCharType="begin"/>
          </w:r>
          <w:r>
            <w:instrText xml:space="preserve"> HYPERLINK \l "_Toc13716" </w:instrText>
          </w:r>
          <w:r>
            <w:fldChar w:fldCharType="separate"/>
          </w:r>
          <w:r>
            <w:rPr>
              <w:rFonts w:hint="eastAsia" w:hAnsi="宋体" w:cs="宋体"/>
            </w:rPr>
            <w:t>6.2  主要零件技术要求</w:t>
          </w:r>
          <w:r>
            <w:rPr>
              <w:rFonts w:hint="eastAsia" w:hAnsi="宋体" w:cs="宋体"/>
            </w:rPr>
            <w:tab/>
          </w:r>
          <w:r>
            <w:rPr>
              <w:rFonts w:hint="eastAsia" w:hAnsi="宋体" w:cs="宋体"/>
            </w:rPr>
            <w:fldChar w:fldCharType="begin"/>
          </w:r>
          <w:r>
            <w:rPr>
              <w:rFonts w:hint="eastAsia" w:hAnsi="宋体" w:cs="宋体"/>
            </w:rPr>
            <w:instrText xml:space="preserve"> PAGEREF _Toc13716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pPr>
            <w:pStyle w:val="37"/>
            <w:tabs>
              <w:tab w:val="right" w:leader="dot" w:pos="9354"/>
              <w:tab w:val="clear" w:pos="9241"/>
            </w:tabs>
            <w:ind w:firstLine="210" w:firstLineChars="100"/>
            <w:rPr>
              <w:rFonts w:hAnsi="宋体" w:cs="宋体"/>
            </w:rPr>
          </w:pPr>
          <w:r>
            <w:fldChar w:fldCharType="begin"/>
          </w:r>
          <w:r>
            <w:instrText xml:space="preserve"> HYPERLINK \l "_Toc16774" </w:instrText>
          </w:r>
          <w:r>
            <w:fldChar w:fldCharType="separate"/>
          </w:r>
          <w:r>
            <w:rPr>
              <w:rFonts w:hint="eastAsia" w:hAnsi="宋体" w:cs="宋体"/>
            </w:rPr>
            <w:t>6.3  装配技术要求</w:t>
          </w:r>
          <w:r>
            <w:rPr>
              <w:rFonts w:hint="eastAsia" w:hAnsi="宋体" w:cs="宋体"/>
            </w:rPr>
            <w:tab/>
          </w:r>
          <w:r>
            <w:rPr>
              <w:rFonts w:hint="eastAsia" w:hAnsi="宋体" w:cs="宋体"/>
            </w:rPr>
            <w:fldChar w:fldCharType="begin"/>
          </w:r>
          <w:r>
            <w:rPr>
              <w:rFonts w:hint="eastAsia" w:hAnsi="宋体" w:cs="宋体"/>
            </w:rPr>
            <w:instrText xml:space="preserve"> PAGEREF _Toc16774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pPr>
            <w:pStyle w:val="37"/>
            <w:tabs>
              <w:tab w:val="right" w:leader="dot" w:pos="9354"/>
              <w:tab w:val="clear" w:pos="9241"/>
            </w:tabs>
            <w:ind w:firstLine="210" w:firstLineChars="100"/>
            <w:rPr>
              <w:rFonts w:hAnsi="宋体" w:cs="宋体"/>
            </w:rPr>
          </w:pPr>
          <w:r>
            <w:fldChar w:fldCharType="begin"/>
          </w:r>
          <w:r>
            <w:instrText xml:space="preserve"> HYPERLINK \l "_Toc19199" </w:instrText>
          </w:r>
          <w:r>
            <w:fldChar w:fldCharType="separate"/>
          </w:r>
          <w:r>
            <w:rPr>
              <w:rFonts w:hint="eastAsia" w:hAnsi="宋体" w:cs="宋体"/>
            </w:rPr>
            <w:t>6.4  润滑系统技术要求</w:t>
          </w:r>
          <w:r>
            <w:rPr>
              <w:rFonts w:hint="eastAsia" w:hAnsi="宋体" w:cs="宋体"/>
            </w:rPr>
            <w:tab/>
          </w:r>
          <w:r>
            <w:rPr>
              <w:rFonts w:hint="eastAsia" w:hAnsi="宋体" w:cs="宋体"/>
            </w:rPr>
            <w:fldChar w:fldCharType="begin"/>
          </w:r>
          <w:r>
            <w:rPr>
              <w:rFonts w:hint="eastAsia" w:hAnsi="宋体" w:cs="宋体"/>
            </w:rPr>
            <w:instrText xml:space="preserve"> PAGEREF _Toc19199 \h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pPr>
            <w:pStyle w:val="37"/>
            <w:tabs>
              <w:tab w:val="right" w:leader="dot" w:pos="9354"/>
              <w:tab w:val="clear" w:pos="9241"/>
            </w:tabs>
            <w:ind w:firstLine="210" w:firstLineChars="100"/>
            <w:rPr>
              <w:rFonts w:hAnsi="宋体" w:cs="宋体"/>
            </w:rPr>
          </w:pPr>
          <w:r>
            <w:fldChar w:fldCharType="begin"/>
          </w:r>
          <w:r>
            <w:instrText xml:space="preserve"> HYPERLINK \l "_Toc29591" </w:instrText>
          </w:r>
          <w:r>
            <w:fldChar w:fldCharType="separate"/>
          </w:r>
          <w:r>
            <w:rPr>
              <w:rFonts w:hint="eastAsia" w:hAnsi="宋体" w:cs="宋体"/>
            </w:rPr>
            <w:t>6.5  电气控制系统</w:t>
          </w:r>
          <w:r>
            <w:rPr>
              <w:rFonts w:hint="eastAsia" w:hAnsi="宋体" w:cs="宋体"/>
            </w:rPr>
            <w:tab/>
          </w:r>
          <w:r>
            <w:rPr>
              <w:rFonts w:hint="eastAsia" w:hAnsi="宋体" w:cs="宋体"/>
            </w:rPr>
            <w:fldChar w:fldCharType="begin"/>
          </w:r>
          <w:r>
            <w:rPr>
              <w:rFonts w:hint="eastAsia" w:hAnsi="宋体" w:cs="宋体"/>
            </w:rPr>
            <w:instrText xml:space="preserve"> PAGEREF _Toc29591 \h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pPr>
            <w:pStyle w:val="37"/>
            <w:tabs>
              <w:tab w:val="right" w:leader="dot" w:pos="9354"/>
              <w:tab w:val="clear" w:pos="9241"/>
            </w:tabs>
            <w:spacing w:before="78" w:beforeLines="25" w:after="78" w:afterLines="25"/>
            <w:rPr>
              <w:rFonts w:hAnsi="宋体" w:cs="宋体"/>
            </w:rPr>
          </w:pPr>
          <w:r>
            <w:fldChar w:fldCharType="begin"/>
          </w:r>
          <w:r>
            <w:instrText xml:space="preserve"> HYPERLINK \l "_Toc1010" </w:instrText>
          </w:r>
          <w:r>
            <w:fldChar w:fldCharType="separate"/>
          </w:r>
          <w:r>
            <w:rPr>
              <w:rFonts w:hint="eastAsia" w:hAnsi="宋体" w:cs="宋体"/>
            </w:rPr>
            <w:t>7  试车</w:t>
          </w:r>
          <w:r>
            <w:rPr>
              <w:rFonts w:hint="eastAsia" w:hAnsi="宋体" w:cs="宋体"/>
            </w:rPr>
            <w:tab/>
          </w:r>
          <w:r>
            <w:rPr>
              <w:rFonts w:hint="eastAsia" w:hAnsi="宋体" w:cs="宋体"/>
            </w:rPr>
            <w:fldChar w:fldCharType="begin"/>
          </w:r>
          <w:r>
            <w:rPr>
              <w:rFonts w:hint="eastAsia" w:hAnsi="宋体" w:cs="宋体"/>
            </w:rPr>
            <w:instrText xml:space="preserve"> PAGEREF _Toc1010 \h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pPr>
            <w:pStyle w:val="37"/>
            <w:tabs>
              <w:tab w:val="right" w:leader="dot" w:pos="9354"/>
              <w:tab w:val="clear" w:pos="9241"/>
            </w:tabs>
            <w:ind w:firstLine="210" w:firstLineChars="100"/>
            <w:rPr>
              <w:rFonts w:hAnsi="宋体" w:cs="宋体"/>
            </w:rPr>
          </w:pPr>
          <w:r>
            <w:fldChar w:fldCharType="begin"/>
          </w:r>
          <w:r>
            <w:instrText xml:space="preserve"> HYPERLINK \l "_Toc26860" </w:instrText>
          </w:r>
          <w:r>
            <w:fldChar w:fldCharType="separate"/>
          </w:r>
          <w:r>
            <w:rPr>
              <w:rFonts w:hint="eastAsia" w:hAnsi="宋体" w:cs="宋体"/>
            </w:rPr>
            <w:t>7.1  总体要求</w:t>
          </w:r>
          <w:r>
            <w:rPr>
              <w:rFonts w:hint="eastAsia" w:hAnsi="宋体" w:cs="宋体"/>
            </w:rPr>
            <w:tab/>
          </w:r>
          <w:r>
            <w:rPr>
              <w:rFonts w:hint="eastAsia" w:hAnsi="宋体" w:cs="宋体"/>
            </w:rPr>
            <w:fldChar w:fldCharType="begin"/>
          </w:r>
          <w:r>
            <w:rPr>
              <w:rFonts w:hint="eastAsia" w:hAnsi="宋体" w:cs="宋体"/>
            </w:rPr>
            <w:instrText xml:space="preserve"> PAGEREF _Toc26860 \h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pPr>
            <w:pStyle w:val="37"/>
            <w:tabs>
              <w:tab w:val="right" w:leader="dot" w:pos="9354"/>
              <w:tab w:val="clear" w:pos="9241"/>
            </w:tabs>
            <w:ind w:firstLine="210" w:firstLineChars="100"/>
            <w:rPr>
              <w:rFonts w:hAnsi="宋体" w:cs="宋体"/>
            </w:rPr>
          </w:pPr>
          <w:r>
            <w:fldChar w:fldCharType="begin"/>
          </w:r>
          <w:r>
            <w:instrText xml:space="preserve"> HYPERLINK \l "_Toc6802" </w:instrText>
          </w:r>
          <w:r>
            <w:fldChar w:fldCharType="separate"/>
          </w:r>
          <w:r>
            <w:rPr>
              <w:rFonts w:hint="eastAsia" w:hAnsi="宋体" w:cs="宋体"/>
            </w:rPr>
            <w:t>7.2  空负荷试车</w:t>
          </w:r>
          <w:r>
            <w:rPr>
              <w:rFonts w:hint="eastAsia" w:hAnsi="宋体" w:cs="宋体"/>
            </w:rPr>
            <w:tab/>
          </w:r>
          <w:r>
            <w:rPr>
              <w:rFonts w:hint="eastAsia" w:hAnsi="宋体" w:cs="宋体"/>
            </w:rPr>
            <w:fldChar w:fldCharType="begin"/>
          </w:r>
          <w:r>
            <w:rPr>
              <w:rFonts w:hint="eastAsia" w:hAnsi="宋体" w:cs="宋体"/>
            </w:rPr>
            <w:instrText xml:space="preserve"> PAGEREF _Toc6802 \h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pPr>
            <w:pStyle w:val="37"/>
            <w:tabs>
              <w:tab w:val="right" w:leader="dot" w:pos="9354"/>
              <w:tab w:val="clear" w:pos="9241"/>
            </w:tabs>
            <w:ind w:firstLine="210" w:firstLineChars="100"/>
            <w:rPr>
              <w:rFonts w:hAnsi="宋体" w:cs="宋体"/>
            </w:rPr>
          </w:pPr>
          <w:r>
            <w:fldChar w:fldCharType="begin"/>
          </w:r>
          <w:r>
            <w:instrText xml:space="preserve"> HYPERLINK \l "_Toc15311" </w:instrText>
          </w:r>
          <w:r>
            <w:fldChar w:fldCharType="separate"/>
          </w:r>
          <w:r>
            <w:rPr>
              <w:rFonts w:hint="eastAsia" w:hAnsi="宋体" w:cs="宋体"/>
            </w:rPr>
            <w:t>7.3  负荷试车</w:t>
          </w:r>
          <w:r>
            <w:rPr>
              <w:rFonts w:hint="eastAsia" w:hAnsi="宋体" w:cs="宋体"/>
            </w:rPr>
            <w:tab/>
          </w:r>
          <w:r>
            <w:rPr>
              <w:rFonts w:hint="eastAsia" w:hAnsi="宋体" w:cs="宋体"/>
            </w:rPr>
            <w:fldChar w:fldCharType="begin"/>
          </w:r>
          <w:r>
            <w:rPr>
              <w:rFonts w:hint="eastAsia" w:hAnsi="宋体" w:cs="宋体"/>
            </w:rPr>
            <w:instrText xml:space="preserve"> PAGEREF _Toc15311 \h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r>
            <w:rPr>
              <w:rFonts w:hint="eastAsia" w:ascii="宋体" w:hAnsi="宋体" w:eastAsia="宋体" w:cs="宋体"/>
              <w:szCs w:val="21"/>
            </w:rPr>
            <w:fldChar w:fldCharType="end"/>
          </w:r>
        </w:p>
      </w:sdtContent>
    </w:sdt>
    <w:p>
      <w:pPr>
        <w:pStyle w:val="70"/>
      </w:pPr>
      <w:r>
        <w:t xml:space="preserve"> </w:t>
      </w:r>
    </w:p>
    <w:p>
      <w:pPr>
        <w:pStyle w:val="110"/>
        <w:rPr>
          <w:rFonts w:hAnsi="黑体" w:cs="黑体"/>
        </w:rPr>
      </w:pPr>
      <w:bookmarkStart w:id="37" w:name="_Toc320608717"/>
      <w:bookmarkStart w:id="38" w:name="_Toc322932367"/>
      <w:bookmarkStart w:id="39" w:name="_Toc438467475"/>
      <w:bookmarkStart w:id="40" w:name="_Toc321808229"/>
      <w:bookmarkStart w:id="41" w:name="_Toc30757"/>
      <w:bookmarkStart w:id="42" w:name="_Toc23759"/>
      <w:bookmarkStart w:id="43" w:name="_Toc140329316"/>
      <w:r>
        <w:rPr>
          <w:rFonts w:hint="eastAsia" w:hAnsi="黑体" w:cs="黑体"/>
        </w:rPr>
        <w:t>前</w:t>
      </w:r>
      <w:bookmarkStart w:id="44" w:name="BKQY"/>
      <w:r>
        <w:rPr>
          <w:rFonts w:hint="eastAsia" w:hAnsi="黑体" w:cs="黑体"/>
        </w:rPr>
        <w:t>   言</w:t>
      </w:r>
      <w:bookmarkEnd w:id="27"/>
      <w:bookmarkEnd w:id="28"/>
      <w:bookmarkEnd w:id="29"/>
      <w:bookmarkEnd w:id="30"/>
      <w:bookmarkEnd w:id="31"/>
      <w:bookmarkEnd w:id="32"/>
      <w:bookmarkEnd w:id="33"/>
      <w:bookmarkEnd w:id="34"/>
      <w:bookmarkEnd w:id="35"/>
      <w:bookmarkEnd w:id="37"/>
      <w:bookmarkEnd w:id="38"/>
      <w:bookmarkEnd w:id="39"/>
      <w:bookmarkEnd w:id="40"/>
      <w:bookmarkEnd w:id="41"/>
      <w:bookmarkEnd w:id="42"/>
      <w:bookmarkEnd w:id="43"/>
      <w:bookmarkEnd w:id="44"/>
    </w:p>
    <w:p>
      <w:pPr>
        <w:pStyle w:val="70"/>
        <w:rPr>
          <w:rFonts w:hAnsi="宋体"/>
          <w:color w:val="000000"/>
        </w:rPr>
      </w:pPr>
      <w:r>
        <w:rPr>
          <w:rFonts w:hint="eastAsia" w:hAnsi="宋体"/>
          <w:color w:val="000000"/>
        </w:rPr>
        <w:t>本文件按照GB/T</w:t>
      </w:r>
      <w:r>
        <w:rPr>
          <w:rFonts w:hAnsi="宋体"/>
          <w:color w:val="000000"/>
        </w:rPr>
        <w:t xml:space="preserve"> </w:t>
      </w:r>
      <w:r>
        <w:rPr>
          <w:rFonts w:hint="eastAsia" w:hAnsi="宋体"/>
          <w:color w:val="000000"/>
        </w:rPr>
        <w:t>1.1—20</w:t>
      </w:r>
      <w:r>
        <w:rPr>
          <w:rFonts w:hAnsi="宋体"/>
          <w:color w:val="000000"/>
        </w:rPr>
        <w:t>20</w:t>
      </w:r>
      <w:r>
        <w:rPr>
          <w:rFonts w:hint="eastAsia" w:hAnsi="宋体"/>
          <w:color w:val="000000"/>
        </w:rPr>
        <w:t xml:space="preserve">《标准化工作导则 </w:t>
      </w:r>
      <w:r>
        <w:rPr>
          <w:rFonts w:hAnsi="宋体"/>
          <w:color w:val="000000"/>
        </w:rPr>
        <w:t xml:space="preserve"> </w:t>
      </w:r>
      <w:r>
        <w:rPr>
          <w:rFonts w:hint="eastAsia" w:hAnsi="宋体"/>
          <w:color w:val="000000"/>
        </w:rPr>
        <w:t xml:space="preserve">第1部分：标准化文件的结构和起草规则》的规定起草。 </w:t>
      </w:r>
    </w:p>
    <w:p>
      <w:pPr>
        <w:pStyle w:val="70"/>
        <w:rPr>
          <w:rFonts w:hAnsi="宋体"/>
          <w:color w:val="000000"/>
        </w:rPr>
      </w:pPr>
      <w:r>
        <w:rPr>
          <w:rFonts w:hint="eastAsia"/>
          <w:color w:val="000000"/>
        </w:rPr>
        <w:t>请注意本文件的某些内容可能涉及专利。本文件的发布机构不承担识别专利的责任。</w:t>
      </w:r>
    </w:p>
    <w:p>
      <w:pPr>
        <w:pStyle w:val="70"/>
        <w:rPr>
          <w:rFonts w:hAnsi="宋体"/>
          <w:color w:val="000000"/>
        </w:rPr>
      </w:pPr>
      <w:r>
        <w:rPr>
          <w:rFonts w:hint="eastAsia" w:hAnsi="宋体"/>
          <w:color w:val="000000"/>
        </w:rPr>
        <w:t>本文件由中国机械工业联合会提出。</w:t>
      </w:r>
    </w:p>
    <w:p>
      <w:pPr>
        <w:pStyle w:val="70"/>
        <w:rPr>
          <w:rFonts w:hAnsi="宋体"/>
          <w:color w:val="000000"/>
        </w:rPr>
      </w:pPr>
      <w:r>
        <w:rPr>
          <w:rFonts w:hint="eastAsia" w:hAnsi="宋体"/>
          <w:color w:val="000000"/>
        </w:rPr>
        <w:t>本文件由全国</w:t>
      </w:r>
      <w:bookmarkStart w:id="45" w:name="_Hlk58927736"/>
      <w:r>
        <w:rPr>
          <w:rFonts w:hint="eastAsia" w:hAnsi="宋体"/>
          <w:color w:val="000000"/>
        </w:rPr>
        <w:t>冶金设备标准化技术委员会</w:t>
      </w:r>
      <w:r>
        <w:rPr>
          <w:rFonts w:hAnsi="宋体"/>
          <w:szCs w:val="21"/>
        </w:rPr>
        <w:t>（SAC/TC</w:t>
      </w:r>
      <w:r>
        <w:rPr>
          <w:rFonts w:hint="eastAsia" w:hAnsi="宋体"/>
          <w:szCs w:val="21"/>
        </w:rPr>
        <w:t>409</w:t>
      </w:r>
      <w:r>
        <w:rPr>
          <w:rFonts w:hAnsi="宋体"/>
          <w:szCs w:val="21"/>
        </w:rPr>
        <w:t>）</w:t>
      </w:r>
      <w:r>
        <w:rPr>
          <w:rFonts w:hint="eastAsia" w:hAnsi="宋体"/>
          <w:color w:val="000000"/>
        </w:rPr>
        <w:t>归口。</w:t>
      </w:r>
    </w:p>
    <w:p>
      <w:pPr>
        <w:pStyle w:val="70"/>
        <w:rPr>
          <w:rFonts w:hAnsi="宋体"/>
          <w:color w:val="000000"/>
        </w:rPr>
      </w:pPr>
      <w:r>
        <w:rPr>
          <w:rFonts w:hint="eastAsia" w:hAnsi="宋体"/>
          <w:color w:val="000000"/>
        </w:rPr>
        <w:t>本文件起草单位：二重（德阳）重型装备有限公司、中国重型机械研究院股份公司。</w:t>
      </w:r>
    </w:p>
    <w:p>
      <w:pPr>
        <w:pStyle w:val="70"/>
        <w:tabs>
          <w:tab w:val="left" w:pos="8651"/>
          <w:tab w:val="clear" w:pos="9298"/>
        </w:tabs>
        <w:rPr>
          <w:rFonts w:hAnsi="宋体"/>
          <w:color w:val="000000"/>
        </w:rPr>
      </w:pPr>
      <w:r>
        <w:rPr>
          <w:rFonts w:hint="eastAsia" w:hAnsi="宋体"/>
          <w:color w:val="000000"/>
        </w:rPr>
        <w:t>本文件主要起草人：</w:t>
      </w:r>
      <w:r>
        <w:rPr>
          <w:rFonts w:hAnsi="宋体"/>
          <w:color w:val="000000"/>
        </w:rPr>
        <w:t xml:space="preserve"> </w:t>
      </w:r>
    </w:p>
    <w:bookmarkEnd w:id="45"/>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130"/>
        <w:ind w:firstLine="420"/>
        <w:rPr>
          <w:rFonts w:ascii="宋体" w:hAnsi="宋体"/>
        </w:rPr>
      </w:pPr>
    </w:p>
    <w:p>
      <w:pPr>
        <w:pStyle w:val="70"/>
        <w:ind w:firstLine="0" w:firstLineChars="0"/>
        <w:jc w:val="center"/>
        <w:rPr>
          <w:rFonts w:ascii="黑体" w:hAnsi="黑体" w:eastAsia="黑体" w:cs="Arial"/>
          <w:sz w:val="32"/>
          <w:szCs w:val="32"/>
        </w:rPr>
        <w:sectPr>
          <w:headerReference r:id="rId3" w:type="default"/>
          <w:footerReference r:id="rId4" w:type="default"/>
          <w:pgSz w:w="11906" w:h="16838"/>
          <w:pgMar w:top="567" w:right="1134" w:bottom="1134" w:left="1418" w:header="1418" w:footer="1134" w:gutter="0"/>
          <w:pgNumType w:fmt="upperRoman" w:start="1"/>
          <w:cols w:space="720" w:num="1"/>
          <w:formProt w:val="0"/>
          <w:docGrid w:type="lines" w:linePitch="312" w:charSpace="0"/>
        </w:sectPr>
      </w:pPr>
      <w:bookmarkStart w:id="46" w:name="_Toc60650045"/>
      <w:bookmarkStart w:id="47" w:name="_Toc436915435"/>
      <w:bookmarkStart w:id="48" w:name="_Toc318103485"/>
      <w:bookmarkStart w:id="49" w:name="_Toc320605960"/>
      <w:bookmarkStart w:id="50" w:name="_Toc318103460"/>
      <w:bookmarkStart w:id="51" w:name="_Toc320608245"/>
      <w:bookmarkStart w:id="52" w:name="_Toc320608621"/>
      <w:bookmarkStart w:id="53" w:name="_Toc320605883"/>
      <w:bookmarkStart w:id="54" w:name="_Toc321755024"/>
      <w:bookmarkStart w:id="55" w:name="_Toc320607612"/>
      <w:bookmarkStart w:id="56" w:name="_Toc320608718"/>
      <w:bookmarkStart w:id="57" w:name="_Toc320607918"/>
      <w:bookmarkStart w:id="58" w:name="_Toc320606087"/>
      <w:bookmarkStart w:id="59" w:name="_Toc320608535"/>
      <w:bookmarkStart w:id="60" w:name="_Toc320607302"/>
      <w:bookmarkStart w:id="61" w:name="_Toc360707067"/>
      <w:bookmarkStart w:id="62" w:name="_Toc326825448"/>
    </w:p>
    <w:p>
      <w:pPr>
        <w:pStyle w:val="70"/>
        <w:ind w:firstLine="0" w:firstLineChars="0"/>
        <w:jc w:val="center"/>
        <w:rPr>
          <w:rFonts w:ascii="黑体" w:hAnsi="黑体" w:eastAsia="黑体" w:cs="Arial"/>
          <w:sz w:val="32"/>
          <w:szCs w:val="32"/>
        </w:rPr>
      </w:pPr>
      <w:r>
        <w:rPr>
          <w:rFonts w:hint="eastAsia" w:ascii="黑体" w:hAnsi="黑体" w:eastAsia="黑体" w:cs="Arial"/>
          <w:sz w:val="32"/>
          <w:szCs w:val="32"/>
        </w:rPr>
        <w:t>冷连轧卧式活套</w:t>
      </w:r>
      <w:bookmarkEnd w:id="46"/>
      <w:bookmarkEnd w:id="47"/>
    </w:p>
    <w:p>
      <w:pPr>
        <w:pStyle w:val="157"/>
        <w:numPr>
          <w:ilvl w:val="0"/>
          <w:numId w:val="19"/>
        </w:numPr>
        <w:outlineLvl w:val="0"/>
      </w:pPr>
      <w:bookmarkStart w:id="63" w:name="_Toc140329317"/>
      <w:bookmarkStart w:id="64" w:name="_Toc60650046"/>
      <w:bookmarkStart w:id="65" w:name="_Toc11451"/>
      <w:r>
        <w:rPr>
          <w:rFonts w:hint="eastAsia"/>
        </w:rPr>
        <w:t>范围</w:t>
      </w:r>
      <w:bookmarkEnd w:id="48"/>
      <w:bookmarkEnd w:id="49"/>
      <w:bookmarkEnd w:id="50"/>
      <w:bookmarkEnd w:id="51"/>
      <w:bookmarkEnd w:id="52"/>
      <w:bookmarkEnd w:id="53"/>
      <w:bookmarkEnd w:id="54"/>
      <w:bookmarkEnd w:id="55"/>
      <w:bookmarkEnd w:id="56"/>
      <w:bookmarkEnd w:id="57"/>
      <w:bookmarkEnd w:id="58"/>
      <w:bookmarkEnd w:id="59"/>
      <w:bookmarkEnd w:id="60"/>
      <w:bookmarkEnd w:id="63"/>
      <w:bookmarkEnd w:id="64"/>
      <w:bookmarkEnd w:id="65"/>
    </w:p>
    <w:p>
      <w:pPr>
        <w:pStyle w:val="70"/>
        <w:rPr>
          <w:rFonts w:hAnsi="宋体" w:cs="Arial"/>
        </w:rPr>
      </w:pPr>
      <w:r>
        <w:rPr>
          <w:rFonts w:hint="eastAsia" w:hAnsi="宋体" w:cs="Arial"/>
        </w:rPr>
        <w:t>本文件规定了冷连轧卧式活套基本型式和标记、基本参数、技术要求，描述了相应的试车方法。</w:t>
      </w:r>
    </w:p>
    <w:p>
      <w:pPr>
        <w:pStyle w:val="70"/>
        <w:rPr>
          <w:rFonts w:hAnsi="宋体" w:cs="Arial"/>
        </w:rPr>
      </w:pPr>
      <w:r>
        <w:rPr>
          <w:rFonts w:hint="eastAsia" w:hAnsi="宋体" w:cs="Arial"/>
        </w:rPr>
        <w:t xml:space="preserve">本文件适用于入口带材厚度为1.2mm～6.5mm、宽度500mm～2 </w:t>
      </w:r>
      <w:r>
        <w:rPr>
          <w:rFonts w:hAnsi="宋体" w:cs="Arial"/>
        </w:rPr>
        <w:t>200</w:t>
      </w:r>
      <w:r>
        <w:rPr>
          <w:rFonts w:hint="eastAsia" w:hAnsi="宋体" w:cs="Arial"/>
        </w:rPr>
        <w:t>mm、抗拉强度≤1 000MPa的冷连轧生产线用卧式活套（以下简称为“卧式活套”）。</w:t>
      </w:r>
    </w:p>
    <w:p>
      <w:pPr>
        <w:pStyle w:val="157"/>
        <w:numPr>
          <w:ilvl w:val="0"/>
          <w:numId w:val="19"/>
        </w:numPr>
        <w:outlineLvl w:val="0"/>
      </w:pPr>
      <w:bookmarkStart w:id="66" w:name="_Toc311145726"/>
      <w:bookmarkStart w:id="67" w:name="_Toc324155136"/>
      <w:bookmarkStart w:id="68" w:name="_Toc140329318"/>
      <w:bookmarkStart w:id="69" w:name="_Toc60650047"/>
      <w:bookmarkStart w:id="70" w:name="_Toc30989"/>
      <w:r>
        <w:rPr>
          <w:rFonts w:hint="eastAsia"/>
        </w:rPr>
        <w:t>规范性引用文件</w:t>
      </w:r>
      <w:bookmarkEnd w:id="66"/>
      <w:bookmarkEnd w:id="67"/>
      <w:bookmarkEnd w:id="68"/>
      <w:bookmarkEnd w:id="69"/>
      <w:bookmarkEnd w:id="70"/>
    </w:p>
    <w:p>
      <w:pPr>
        <w:adjustRightInd w:val="0"/>
        <w:snapToGrid w:val="0"/>
        <w:ind w:firstLine="420" w:firstLineChars="200"/>
        <w:rPr>
          <w:rFonts w:ascii="宋体" w:hAnsi="宋体" w:eastAsia="宋体"/>
        </w:rPr>
      </w:pPr>
      <w:r>
        <w:rPr>
          <w:rFonts w:hint="eastAsia" w:ascii="宋体" w:hAnsi="宋体" w:eastAsia="宋体"/>
        </w:rPr>
        <w:t>下列文件中的内容通过文中的规范性引用而构成本文件必不可少的条款。其中，注日期的引用文件，仅该日期对应的版本适用于本文件；不注日期的引用文件，其最新版本</w:t>
      </w:r>
      <w:r>
        <w:rPr>
          <w:rFonts w:hint="eastAsia" w:ascii="宋体" w:hAnsi="宋体" w:eastAsia="宋体"/>
          <w:lang w:eastAsia="zh-CN"/>
        </w:rPr>
        <w:t>（</w:t>
      </w:r>
      <w:r>
        <w:rPr>
          <w:rFonts w:hint="eastAsia" w:ascii="宋体" w:hAnsi="宋体" w:eastAsia="宋体"/>
        </w:rPr>
        <w:t>包括所有的修改单</w:t>
      </w:r>
      <w:r>
        <w:rPr>
          <w:rFonts w:hint="eastAsia" w:ascii="宋体" w:hAnsi="宋体" w:eastAsia="宋体"/>
          <w:lang w:eastAsia="zh-CN"/>
        </w:rPr>
        <w:t>）</w:t>
      </w:r>
      <w:r>
        <w:rPr>
          <w:rFonts w:hint="eastAsia" w:ascii="宋体" w:hAnsi="宋体" w:eastAsia="宋体"/>
        </w:rPr>
        <w:t>适用于本文件。</w:t>
      </w:r>
    </w:p>
    <w:p>
      <w:pPr>
        <w:pStyle w:val="70"/>
        <w:rPr>
          <w:rFonts w:hAnsi="宋体"/>
        </w:rPr>
      </w:pPr>
      <w:r>
        <w:rPr>
          <w:rFonts w:hint="eastAsia" w:hAnsi="宋体"/>
        </w:rPr>
        <w:t>GB/T 2585  铁路用热轧钢轨</w:t>
      </w:r>
    </w:p>
    <w:p>
      <w:pPr>
        <w:pStyle w:val="70"/>
        <w:rPr>
          <w:rFonts w:hAnsi="宋体"/>
        </w:rPr>
      </w:pPr>
      <w:r>
        <w:rPr>
          <w:rFonts w:hint="eastAsia" w:hAnsi="宋体"/>
        </w:rPr>
        <w:t>GB 5226.1  机械电气安全  机械电气设备  第1部分：通用技术条件</w:t>
      </w:r>
    </w:p>
    <w:p>
      <w:pPr>
        <w:pStyle w:val="70"/>
        <w:rPr>
          <w:rFonts w:hAnsi="宋体"/>
        </w:rPr>
      </w:pPr>
      <w:r>
        <w:rPr>
          <w:rFonts w:hint="eastAsia" w:hAnsi="宋体"/>
        </w:rPr>
        <w:t>GB/T 11345—2013  焊缝无损检测  超声波检测  技术、检测等级和评定</w:t>
      </w:r>
    </w:p>
    <w:p>
      <w:pPr>
        <w:pStyle w:val="70"/>
        <w:rPr>
          <w:rFonts w:hAnsi="宋体"/>
        </w:rPr>
      </w:pPr>
      <w:r>
        <w:rPr>
          <w:rFonts w:hint="eastAsia" w:hAnsi="宋体"/>
        </w:rPr>
        <w:t>GB/T 29712—2013  焊缝无损检测  超声检测  验收等级</w:t>
      </w:r>
    </w:p>
    <w:p>
      <w:pPr>
        <w:pStyle w:val="70"/>
        <w:rPr>
          <w:rFonts w:hAnsi="宋体"/>
        </w:rPr>
      </w:pPr>
      <w:r>
        <w:rPr>
          <w:rFonts w:hint="eastAsia" w:hAnsi="宋体"/>
        </w:rPr>
        <w:t>GB/T 37400.1  重型机械通用技术条件  第1部分：产品检验</w:t>
      </w:r>
    </w:p>
    <w:p>
      <w:pPr>
        <w:pStyle w:val="70"/>
        <w:rPr>
          <w:rFonts w:hAnsi="宋体"/>
        </w:rPr>
      </w:pPr>
      <w:r>
        <w:rPr>
          <w:rFonts w:hint="eastAsia" w:hAnsi="宋体"/>
        </w:rPr>
        <w:t>GB/T 37400.2  重型机械通用技术条件  第2部分：火焰切割件</w:t>
      </w:r>
    </w:p>
    <w:p>
      <w:pPr>
        <w:pStyle w:val="70"/>
        <w:rPr>
          <w:rFonts w:hAnsi="宋体"/>
        </w:rPr>
      </w:pPr>
      <w:r>
        <w:rPr>
          <w:rFonts w:hint="eastAsia" w:hAnsi="宋体"/>
        </w:rPr>
        <w:t>GB/T 37400.3—2019  重型机械通用技术条件  第3部分：焊接件</w:t>
      </w:r>
    </w:p>
    <w:p>
      <w:pPr>
        <w:pStyle w:val="70"/>
        <w:rPr>
          <w:rFonts w:hAnsi="宋体"/>
        </w:rPr>
      </w:pPr>
      <w:r>
        <w:rPr>
          <w:rFonts w:hint="eastAsia" w:hAnsi="宋体"/>
        </w:rPr>
        <w:t>GB/T 37400.5  重型机械通用技术条件  第5部分：有色金属铸件</w:t>
      </w:r>
    </w:p>
    <w:p>
      <w:pPr>
        <w:pStyle w:val="70"/>
        <w:rPr>
          <w:rFonts w:hAnsi="宋体"/>
        </w:rPr>
      </w:pPr>
      <w:r>
        <w:rPr>
          <w:rFonts w:hint="eastAsia" w:hAnsi="宋体"/>
        </w:rPr>
        <w:t>GB/T 37400.6  重型机械通用技术条件  第6部分：铸钢件</w:t>
      </w:r>
    </w:p>
    <w:p>
      <w:pPr>
        <w:pStyle w:val="70"/>
        <w:rPr>
          <w:rFonts w:hAnsi="宋体"/>
        </w:rPr>
      </w:pPr>
      <w:r>
        <w:rPr>
          <w:rFonts w:hint="eastAsia" w:hAnsi="宋体"/>
        </w:rPr>
        <w:t>GB/T 37400.7  重型机械通用技术条件  第7部分：铸钢件补焊</w:t>
      </w:r>
    </w:p>
    <w:p>
      <w:pPr>
        <w:pStyle w:val="70"/>
        <w:rPr>
          <w:rFonts w:hAnsi="宋体"/>
        </w:rPr>
      </w:pPr>
      <w:r>
        <w:rPr>
          <w:rFonts w:hint="eastAsia" w:hAnsi="宋体"/>
        </w:rPr>
        <w:t>GB/T 37400.8  重型机械通用技术条件  第8部分：锻件</w:t>
      </w:r>
    </w:p>
    <w:p>
      <w:pPr>
        <w:pStyle w:val="70"/>
        <w:rPr>
          <w:rFonts w:hAnsi="宋体"/>
        </w:rPr>
      </w:pPr>
      <w:r>
        <w:rPr>
          <w:rFonts w:hint="eastAsia" w:hAnsi="宋体"/>
        </w:rPr>
        <w:t>GB/T 37400.9  重型机械通用技术条件  第9部分：切削加工件</w:t>
      </w:r>
    </w:p>
    <w:p>
      <w:pPr>
        <w:pStyle w:val="70"/>
        <w:rPr>
          <w:rFonts w:hAnsi="宋体"/>
        </w:rPr>
      </w:pPr>
      <w:r>
        <w:rPr>
          <w:rFonts w:hint="eastAsia" w:hAnsi="宋体"/>
        </w:rPr>
        <w:t>GB/T 37400.10  重型机械通用技术条件  第10部分：装配</w:t>
      </w:r>
    </w:p>
    <w:p>
      <w:pPr>
        <w:pStyle w:val="70"/>
        <w:rPr>
          <w:rFonts w:hAnsi="宋体"/>
        </w:rPr>
      </w:pPr>
      <w:r>
        <w:rPr>
          <w:rFonts w:hint="eastAsia" w:hAnsi="宋体"/>
        </w:rPr>
        <w:t>GB/T 37400.11  重型机械通用技术条件  第11部分：配管</w:t>
      </w:r>
    </w:p>
    <w:p>
      <w:pPr>
        <w:pStyle w:val="70"/>
        <w:rPr>
          <w:rFonts w:hAnsi="宋体"/>
        </w:rPr>
      </w:pPr>
      <w:r>
        <w:rPr>
          <w:rFonts w:hint="eastAsia" w:hAnsi="宋体"/>
        </w:rPr>
        <w:t>GB/T 37400.12  重型机械通用技术条件  第12部分：涂装</w:t>
      </w:r>
    </w:p>
    <w:p>
      <w:pPr>
        <w:pStyle w:val="70"/>
        <w:rPr>
          <w:rFonts w:hAnsi="宋体"/>
        </w:rPr>
      </w:pPr>
      <w:r>
        <w:rPr>
          <w:rFonts w:hint="eastAsia" w:hAnsi="宋体"/>
        </w:rPr>
        <w:t>GB/T 37400.13  重型机械通用技术条件  第13部分：包装</w:t>
      </w:r>
    </w:p>
    <w:p>
      <w:pPr>
        <w:pStyle w:val="70"/>
        <w:rPr>
          <w:rFonts w:hAnsi="宋体"/>
        </w:rPr>
      </w:pPr>
      <w:r>
        <w:rPr>
          <w:rFonts w:hint="eastAsia" w:hAnsi="宋体"/>
        </w:rPr>
        <w:t>GB/T 37400.14  重型机械通用技术条件  第14部分：铸钢件无损探伤</w:t>
      </w:r>
    </w:p>
    <w:p>
      <w:pPr>
        <w:pStyle w:val="70"/>
        <w:rPr>
          <w:rFonts w:hAnsi="宋体"/>
        </w:rPr>
      </w:pPr>
      <w:r>
        <w:rPr>
          <w:rFonts w:hint="eastAsia" w:hAnsi="宋体"/>
        </w:rPr>
        <w:t>GB/T 37400.15  重型机械通用技术条件  第15部分：锻钢件无损探伤</w:t>
      </w:r>
    </w:p>
    <w:p>
      <w:pPr>
        <w:pStyle w:val="70"/>
        <w:rPr>
          <w:rFonts w:hAnsi="宋体"/>
        </w:rPr>
      </w:pPr>
      <w:r>
        <w:rPr>
          <w:rFonts w:hint="eastAsia" w:hAnsi="宋体"/>
        </w:rPr>
        <w:t>GB/T 37400.16  重型机械通用技术条件  第16部分：液压系统</w:t>
      </w:r>
    </w:p>
    <w:p>
      <w:pPr>
        <w:pStyle w:val="70"/>
        <w:rPr>
          <w:rFonts w:hAnsi="宋体"/>
        </w:rPr>
      </w:pPr>
      <w:r>
        <w:rPr>
          <w:rFonts w:hint="eastAsia" w:hAnsi="宋体"/>
        </w:rPr>
        <w:t>JB/T 7943.1  润滑系统及元件  第1部分：基本参数</w:t>
      </w:r>
    </w:p>
    <w:p>
      <w:pPr>
        <w:pStyle w:val="70"/>
        <w:rPr>
          <w:rFonts w:hAnsi="宋体"/>
        </w:rPr>
      </w:pPr>
      <w:r>
        <w:rPr>
          <w:rFonts w:hint="eastAsia" w:hAnsi="宋体"/>
        </w:rPr>
        <w:t>JB/T 7943.2  润滑装置及元件  第2部分：检查验收规则</w:t>
      </w:r>
    </w:p>
    <w:p>
      <w:pPr>
        <w:pStyle w:val="157"/>
        <w:numPr>
          <w:ilvl w:val="0"/>
          <w:numId w:val="19"/>
        </w:numPr>
        <w:outlineLvl w:val="0"/>
      </w:pPr>
      <w:bookmarkStart w:id="71" w:name="_Toc140329319"/>
      <w:bookmarkStart w:id="72" w:name="_Toc329"/>
      <w:r>
        <w:rPr>
          <w:rFonts w:hint="eastAsia"/>
        </w:rPr>
        <w:t>术语和定义</w:t>
      </w:r>
      <w:bookmarkEnd w:id="71"/>
      <w:bookmarkEnd w:id="72"/>
    </w:p>
    <w:p>
      <w:pPr>
        <w:ind w:firstLine="420" w:firstLineChars="200"/>
        <w:rPr>
          <w:rFonts w:ascii="宋体" w:hAnsi="宋体" w:eastAsia="宋体"/>
        </w:rPr>
      </w:pPr>
      <w:r>
        <w:rPr>
          <w:rFonts w:hint="eastAsia" w:ascii="宋体" w:hAnsi="宋体" w:eastAsia="宋体"/>
        </w:rPr>
        <w:t>GB/T 33223界定的以及下列术语和定义适用于本文件。</w:t>
      </w:r>
    </w:p>
    <w:p>
      <w:pPr>
        <w:numPr>
          <w:ilvl w:val="1"/>
          <w:numId w:val="19"/>
        </w:numPr>
        <w:ind w:left="0"/>
      </w:pPr>
    </w:p>
    <w:p>
      <w:pPr>
        <w:ind w:firstLine="420" w:firstLineChars="200"/>
        <w:rPr>
          <w:rFonts w:ascii="黑体" w:hAnsi="黑体" w:eastAsia="黑体"/>
        </w:rPr>
      </w:pPr>
      <w:r>
        <w:rPr>
          <w:rFonts w:hint="eastAsia" w:ascii="黑体" w:hAnsi="黑体" w:eastAsia="黑体"/>
        </w:rPr>
        <w:t>卧式活套  horizontal looper</w:t>
      </w:r>
    </w:p>
    <w:p>
      <w:pPr>
        <w:ind w:firstLine="420" w:firstLineChars="200"/>
        <w:rPr>
          <w:rFonts w:ascii="黑体" w:hAnsi="黑体" w:eastAsia="黑体"/>
        </w:rPr>
      </w:pPr>
      <w:r>
        <w:rPr>
          <w:rFonts w:hint="eastAsia" w:ascii="黑体" w:hAnsi="黑体" w:eastAsia="黑体"/>
        </w:rPr>
        <w:t>水平活套</w:t>
      </w:r>
    </w:p>
    <w:p>
      <w:pPr>
        <w:ind w:firstLine="420" w:firstLineChars="200"/>
        <w:rPr>
          <w:rFonts w:ascii="宋体" w:hAnsi="宋体" w:eastAsia="宋体" w:cs="宋体"/>
        </w:rPr>
      </w:pPr>
      <w:r>
        <w:rPr>
          <w:rFonts w:hint="eastAsia" w:ascii="宋体" w:hAnsi="宋体" w:eastAsia="宋体" w:cs="宋体"/>
        </w:rPr>
        <w:t>冷连轧生产线中，活套车（3.2）沿水平方向移动，储存或提供带钢的设备。</w:t>
      </w:r>
    </w:p>
    <w:p>
      <w:pPr>
        <w:numPr>
          <w:ilvl w:val="1"/>
          <w:numId w:val="19"/>
        </w:numPr>
      </w:pPr>
    </w:p>
    <w:p>
      <w:pPr>
        <w:ind w:firstLine="420" w:firstLineChars="200"/>
        <w:rPr>
          <w:rFonts w:ascii="黑体" w:hAnsi="黑体" w:eastAsia="黑体"/>
        </w:rPr>
      </w:pPr>
      <w:r>
        <w:rPr>
          <w:rFonts w:hint="eastAsia" w:ascii="黑体" w:hAnsi="黑体" w:eastAsia="黑体"/>
        </w:rPr>
        <w:t>活套车  loop car</w:t>
      </w:r>
    </w:p>
    <w:p>
      <w:pPr>
        <w:ind w:firstLine="420" w:firstLineChars="200"/>
        <w:rPr>
          <w:rFonts w:hAnsi="宋体" w:cs="宋体"/>
        </w:rPr>
      </w:pPr>
      <w:r>
        <w:rPr>
          <w:rFonts w:hint="eastAsia" w:ascii="宋体" w:hAnsi="宋体" w:eastAsia="宋体" w:cs="宋体"/>
        </w:rPr>
        <w:t>安装有若干转向辊，沿固定轨道运行并产生套量（3.4）增减的车体。</w:t>
      </w:r>
      <w:r>
        <w:rPr>
          <w:rFonts w:hAnsi="宋体" w:cs="宋体"/>
        </w:rPr>
        <w:t xml:space="preserve"> </w:t>
      </w:r>
    </w:p>
    <w:p>
      <w:pPr>
        <w:numPr>
          <w:ilvl w:val="1"/>
          <w:numId w:val="19"/>
        </w:numPr>
      </w:pPr>
    </w:p>
    <w:p>
      <w:pPr>
        <w:ind w:firstLine="420" w:firstLineChars="200"/>
        <w:rPr>
          <w:rFonts w:ascii="黑体" w:hAnsi="黑体" w:eastAsia="黑体"/>
        </w:rPr>
      </w:pPr>
      <w:r>
        <w:rPr>
          <w:rFonts w:hint="eastAsia" w:ascii="黑体" w:hAnsi="黑体" w:eastAsia="黑体" w:cs="宋体"/>
        </w:rPr>
        <w:t>托辊</w:t>
      </w:r>
      <w:r>
        <w:rPr>
          <w:rFonts w:hint="eastAsia" w:ascii="黑体" w:hAnsi="黑体" w:eastAsia="黑体"/>
        </w:rPr>
        <w:t>装置  carrier roller device</w:t>
      </w:r>
    </w:p>
    <w:p>
      <w:pPr>
        <w:ind w:firstLine="420" w:firstLineChars="200"/>
        <w:rPr>
          <w:rFonts w:ascii="宋体" w:hAnsi="宋体" w:eastAsia="宋体" w:cs="宋体"/>
        </w:rPr>
      </w:pPr>
      <w:r>
        <w:rPr>
          <w:rFonts w:hint="eastAsia" w:ascii="宋体" w:hAnsi="宋体" w:eastAsia="宋体" w:cs="宋体"/>
        </w:rPr>
        <w:t>安装有若干托辊用以托住带钢防止其下垂的装置。</w:t>
      </w:r>
    </w:p>
    <w:p>
      <w:pPr>
        <w:numPr>
          <w:ilvl w:val="1"/>
          <w:numId w:val="19"/>
        </w:numPr>
      </w:pPr>
    </w:p>
    <w:p>
      <w:pPr>
        <w:ind w:firstLine="420" w:firstLineChars="200"/>
        <w:rPr>
          <w:rFonts w:ascii="黑体" w:hAnsi="黑体" w:eastAsia="黑体"/>
        </w:rPr>
      </w:pPr>
      <w:r>
        <w:rPr>
          <w:rFonts w:hint="eastAsia" w:ascii="黑体" w:hAnsi="黑体" w:eastAsia="黑体"/>
        </w:rPr>
        <w:t>套量  looper capacity</w:t>
      </w:r>
    </w:p>
    <w:p>
      <w:pPr>
        <w:ind w:firstLine="420" w:firstLineChars="200"/>
        <w:rPr>
          <w:rFonts w:ascii="宋体" w:hAnsi="宋体" w:eastAsia="宋体" w:cs="宋体"/>
        </w:rPr>
      </w:pPr>
      <w:r>
        <w:rPr>
          <w:rFonts w:hint="eastAsia" w:ascii="宋体" w:hAnsi="宋体" w:eastAsia="宋体" w:cs="宋体"/>
        </w:rPr>
        <w:t>活套储存带钢的有效工作长度。</w:t>
      </w:r>
    </w:p>
    <w:p>
      <w:pPr>
        <w:numPr>
          <w:ilvl w:val="1"/>
          <w:numId w:val="19"/>
        </w:numPr>
      </w:pPr>
      <w:r>
        <w:rPr>
          <w:rFonts w:hint="eastAsia"/>
        </w:rPr>
        <w:t xml:space="preserve"> </w:t>
      </w:r>
    </w:p>
    <w:p>
      <w:pPr>
        <w:ind w:firstLine="420" w:firstLineChars="200"/>
        <w:rPr>
          <w:rFonts w:ascii="黑体" w:hAnsi="黑体" w:eastAsia="黑体"/>
        </w:rPr>
      </w:pPr>
      <w:r>
        <w:rPr>
          <w:rFonts w:hint="eastAsia" w:ascii="黑体" w:hAnsi="黑体" w:eastAsia="黑体"/>
        </w:rPr>
        <w:t xml:space="preserve">活套层数 </w:t>
      </w:r>
      <w:r>
        <w:rPr>
          <w:rFonts w:ascii="Calibri" w:hAnsi="Calibri" w:eastAsia="黑体" w:cs="Calibri"/>
        </w:rPr>
        <w:t> </w:t>
      </w:r>
      <w:r>
        <w:rPr>
          <w:rFonts w:ascii="黑体" w:hAnsi="黑体" w:eastAsia="黑体"/>
        </w:rPr>
        <w:t>number</w:t>
      </w:r>
      <w:r>
        <w:rPr>
          <w:rFonts w:hint="eastAsia" w:ascii="黑体" w:hAnsi="黑体" w:eastAsia="黑体"/>
        </w:rPr>
        <w:t xml:space="preserve"> of storage strip</w:t>
      </w:r>
    </w:p>
    <w:p>
      <w:pPr>
        <w:ind w:firstLine="420" w:firstLineChars="200"/>
        <w:rPr>
          <w:rFonts w:ascii="宋体" w:hAnsi="宋体" w:eastAsia="宋体" w:cs="宋体"/>
        </w:rPr>
      </w:pPr>
      <w:r>
        <w:rPr>
          <w:rFonts w:hint="eastAsia" w:ascii="宋体" w:hAnsi="宋体" w:eastAsia="宋体" w:cs="宋体"/>
        </w:rPr>
        <w:t>带钢在活套内的层数。</w:t>
      </w:r>
    </w:p>
    <w:p>
      <w:pPr>
        <w:pStyle w:val="157"/>
        <w:numPr>
          <w:ilvl w:val="0"/>
          <w:numId w:val="19"/>
        </w:numPr>
        <w:outlineLvl w:val="0"/>
      </w:pPr>
      <w:bookmarkStart w:id="73" w:name="_Toc24234"/>
      <w:bookmarkStart w:id="74" w:name="_Toc140329320"/>
      <w:r>
        <w:rPr>
          <w:rFonts w:hint="eastAsia"/>
        </w:rPr>
        <w:t>基本型式</w:t>
      </w:r>
      <w:bookmarkEnd w:id="61"/>
      <w:bookmarkEnd w:id="62"/>
      <w:r>
        <w:rPr>
          <w:rFonts w:hint="eastAsia"/>
        </w:rPr>
        <w:t>和标记</w:t>
      </w:r>
      <w:bookmarkEnd w:id="73"/>
      <w:bookmarkEnd w:id="74"/>
    </w:p>
    <w:p>
      <w:pPr>
        <w:pStyle w:val="157"/>
        <w:numPr>
          <w:ilvl w:val="1"/>
          <w:numId w:val="19"/>
        </w:numPr>
        <w:ind w:left="0"/>
        <w:rPr>
          <w:rFonts w:hAnsi="宋体" w:cs="Arial"/>
        </w:rPr>
      </w:pPr>
      <w:bookmarkStart w:id="75" w:name="_Toc140329321"/>
      <w:bookmarkStart w:id="76" w:name="_Toc27449"/>
      <w:r>
        <w:rPr>
          <w:rFonts w:hint="eastAsia" w:hAnsi="宋体" w:cs="Arial"/>
        </w:rPr>
        <w:t>基本型式</w:t>
      </w:r>
      <w:bookmarkEnd w:id="75"/>
      <w:bookmarkEnd w:id="76"/>
    </w:p>
    <w:p>
      <w:pPr>
        <w:spacing w:after="312" w:afterLines="100"/>
        <w:ind w:firstLine="420" w:firstLineChars="200"/>
        <w:rPr>
          <w:rFonts w:ascii="宋体" w:hAnsi="宋体" w:eastAsia="宋体" w:cs="宋体"/>
        </w:rPr>
      </w:pPr>
      <w:r>
        <w:rPr>
          <w:rFonts w:hint="eastAsia" w:ascii="宋体" w:hAnsi="宋体" w:eastAsia="宋体" w:cs="宋体"/>
        </w:rPr>
        <w:t>卧式活套的基本型式示意见图1。</w:t>
      </w:r>
    </w:p>
    <w:p>
      <w:pPr>
        <w:spacing w:after="312" w:afterLines="100"/>
        <w:jc w:val="center"/>
      </w:pPr>
      <w:r>
        <w:drawing>
          <wp:inline distT="0" distB="0" distL="114300" distR="114300">
            <wp:extent cx="4810125" cy="1104900"/>
            <wp:effectExtent l="0" t="0" r="9525" b="0"/>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7"/>
                    <a:stretch>
                      <a:fillRect/>
                    </a:stretch>
                  </pic:blipFill>
                  <pic:spPr>
                    <a:xfrm>
                      <a:off x="0" y="0"/>
                      <a:ext cx="4810125" cy="1104900"/>
                    </a:xfrm>
                    <a:prstGeom prst="rect">
                      <a:avLst/>
                    </a:prstGeom>
                    <a:noFill/>
                    <a:ln>
                      <a:noFill/>
                    </a:ln>
                  </pic:spPr>
                </pic:pic>
              </a:graphicData>
            </a:graphic>
          </wp:inline>
        </w:drawing>
      </w:r>
    </w:p>
    <w:p>
      <w:pPr>
        <w:pStyle w:val="70"/>
        <w:spacing w:line="360" w:lineRule="exact"/>
        <w:ind w:firstLine="360"/>
        <w:rPr>
          <w:rFonts w:hAnsi="宋体" w:cs="Arial"/>
          <w:sz w:val="18"/>
          <w:szCs w:val="18"/>
        </w:rPr>
      </w:pPr>
      <w:r>
        <w:rPr>
          <w:rFonts w:hint="eastAsia" w:hAnsi="宋体" w:cs="Arial"/>
          <w:sz w:val="18"/>
          <w:szCs w:val="18"/>
        </w:rPr>
        <w:t>标引序号说明：</w:t>
      </w:r>
    </w:p>
    <w:p>
      <w:pPr>
        <w:pStyle w:val="70"/>
        <w:spacing w:line="360" w:lineRule="exact"/>
        <w:ind w:firstLine="360"/>
        <w:rPr>
          <w:rFonts w:hAnsi="宋体" w:cs="Arial"/>
          <w:sz w:val="18"/>
          <w:szCs w:val="18"/>
        </w:rPr>
      </w:pPr>
      <w:r>
        <w:rPr>
          <w:rFonts w:hint="eastAsia" w:hAnsi="宋体" w:cs="Arial"/>
          <w:sz w:val="18"/>
          <w:szCs w:val="18"/>
        </w:rPr>
        <w:t>1——托辊装置；2——活套车；3——转向辊；4——支撑辊；5——导轨；6——钢丝绳；7——驱动装置。</w:t>
      </w:r>
    </w:p>
    <w:p>
      <w:pPr>
        <w:pStyle w:val="70"/>
        <w:spacing w:line="360" w:lineRule="exact"/>
        <w:ind w:firstLine="360"/>
        <w:rPr>
          <w:rFonts w:hAnsi="宋体" w:cs="Arial"/>
          <w:sz w:val="18"/>
          <w:szCs w:val="18"/>
        </w:rPr>
      </w:pPr>
      <w:r>
        <w:rPr>
          <w:rFonts w:hint="eastAsia" w:ascii="黑体" w:hAnsi="黑体" w:eastAsia="黑体" w:cs="黑体"/>
          <w:sz w:val="18"/>
          <w:szCs w:val="18"/>
        </w:rPr>
        <w:t>注：</w:t>
      </w:r>
      <w:r>
        <w:rPr>
          <w:rFonts w:hint="eastAsia" w:hAnsi="宋体" w:cs="Arial"/>
          <w:sz w:val="18"/>
          <w:szCs w:val="18"/>
        </w:rPr>
        <w:t>本示意图所示为4层卧式活套。</w:t>
      </w:r>
    </w:p>
    <w:p>
      <w:pPr>
        <w:pStyle w:val="70"/>
        <w:spacing w:line="360" w:lineRule="exact"/>
        <w:ind w:firstLine="360"/>
        <w:rPr>
          <w:rFonts w:hAnsi="宋体" w:cs="Arial"/>
          <w:sz w:val="18"/>
          <w:szCs w:val="18"/>
        </w:rPr>
        <w:sectPr>
          <w:footerReference r:id="rId5" w:type="default"/>
          <w:pgSz w:w="11906" w:h="16838"/>
          <w:pgMar w:top="567" w:right="1134" w:bottom="1134" w:left="1418" w:header="1418" w:footer="1134" w:gutter="0"/>
          <w:pgNumType w:start="1"/>
          <w:cols w:space="720" w:num="1"/>
          <w:formProt w:val="0"/>
          <w:docGrid w:type="lines" w:linePitch="312" w:charSpace="0"/>
        </w:sectPr>
      </w:pPr>
    </w:p>
    <w:p>
      <w:pPr>
        <w:pStyle w:val="70"/>
        <w:ind w:firstLine="360"/>
        <w:rPr>
          <w:rFonts w:hAnsi="宋体" w:cs="宋体"/>
          <w:szCs w:val="21"/>
        </w:rPr>
      </w:pPr>
      <w:r>
        <w:rPr>
          <w:rFonts w:hint="eastAsia" w:hAnsi="宋体" w:cs="宋体"/>
          <w:sz w:val="18"/>
          <w:szCs w:val="18"/>
          <w:vertAlign w:val="superscript"/>
        </w:rPr>
        <w:t xml:space="preserve">a </w:t>
      </w:r>
      <w:r>
        <w:rPr>
          <w:rFonts w:hint="eastAsia" w:hAnsi="宋体" w:cs="宋体"/>
          <w:sz w:val="18"/>
          <w:szCs w:val="18"/>
        </w:rPr>
        <w:t>托辊装置的数量宜根据活套车行程确定，托辊装置之间的间距一般为8m</w:t>
      </w:r>
      <w:r>
        <w:rPr>
          <w:rFonts w:hint="eastAsia" w:hAnsi="宋体" w:cs="宋体"/>
          <w:color w:val="000000"/>
          <w:sz w:val="18"/>
          <w:szCs w:val="18"/>
          <w:lang w:bidi="ar"/>
        </w:rPr>
        <w:t>～</w:t>
      </w:r>
      <w:r>
        <w:rPr>
          <w:rFonts w:hAnsi="宋体" w:cs="宋体"/>
          <w:sz w:val="18"/>
          <w:szCs w:val="18"/>
        </w:rPr>
        <w:t>15</w:t>
      </w:r>
      <w:r>
        <w:rPr>
          <w:rFonts w:hint="eastAsia" w:hAnsi="宋体" w:cs="宋体"/>
          <w:sz w:val="18"/>
          <w:szCs w:val="18"/>
        </w:rPr>
        <w:t>m。</w:t>
      </w:r>
    </w:p>
    <w:p>
      <w:pPr>
        <w:pStyle w:val="70"/>
        <w:ind w:right="1943" w:rightChars="925" w:firstLine="360"/>
        <w:rPr>
          <w:rFonts w:hAnsi="宋体" w:cs="Arial"/>
          <w:sz w:val="18"/>
          <w:szCs w:val="18"/>
        </w:rPr>
      </w:pPr>
      <w:r>
        <w:rPr>
          <w:rFonts w:hint="eastAsia" w:hAnsi="宋体" w:cs="Arial"/>
          <w:sz w:val="18"/>
          <w:szCs w:val="18"/>
          <w:vertAlign w:val="superscript"/>
        </w:rPr>
        <w:t xml:space="preserve">b </w:t>
      </w:r>
      <w:r>
        <w:rPr>
          <w:rFonts w:hint="eastAsia" w:hAnsi="宋体" w:cs="Arial"/>
          <w:sz w:val="18"/>
          <w:szCs w:val="18"/>
        </w:rPr>
        <w:t>带钢。</w:t>
      </w:r>
    </w:p>
    <w:p>
      <w:pPr>
        <w:pStyle w:val="70"/>
        <w:ind w:right="1943" w:rightChars="925" w:firstLine="360"/>
        <w:rPr>
          <w:rFonts w:hAnsi="宋体" w:cs="Arial"/>
          <w:sz w:val="18"/>
          <w:szCs w:val="18"/>
        </w:rPr>
      </w:pPr>
      <w:r>
        <w:rPr>
          <w:rFonts w:hint="eastAsia" w:hAnsi="宋体" w:cs="Arial"/>
          <w:sz w:val="18"/>
          <w:szCs w:val="18"/>
          <w:vertAlign w:val="superscript"/>
        </w:rPr>
        <w:t xml:space="preserve">c </w:t>
      </w:r>
      <w:r>
        <w:rPr>
          <w:rFonts w:hint="eastAsia" w:hAnsi="宋体" w:cs="Arial"/>
          <w:sz w:val="18"/>
          <w:szCs w:val="18"/>
        </w:rPr>
        <w:t>纠偏辊。</w:t>
      </w:r>
    </w:p>
    <w:p>
      <w:pPr>
        <w:pStyle w:val="70"/>
        <w:ind w:right="1943" w:rightChars="925" w:firstLine="360"/>
        <w:jc w:val="left"/>
        <w:rPr>
          <w:rFonts w:hAnsi="宋体" w:cs="Arial"/>
          <w:sz w:val="18"/>
          <w:szCs w:val="18"/>
        </w:rPr>
      </w:pPr>
    </w:p>
    <w:p>
      <w:pPr>
        <w:pStyle w:val="70"/>
        <w:spacing w:line="360" w:lineRule="exact"/>
        <w:ind w:right="1943" w:rightChars="925" w:firstLine="360"/>
        <w:rPr>
          <w:rFonts w:hAnsi="宋体" w:cs="Arial"/>
          <w:sz w:val="18"/>
          <w:szCs w:val="18"/>
        </w:rPr>
      </w:pPr>
    </w:p>
    <w:p>
      <w:pPr>
        <w:pStyle w:val="70"/>
        <w:spacing w:line="360" w:lineRule="exact"/>
        <w:ind w:right="1943" w:rightChars="925" w:firstLine="360"/>
        <w:rPr>
          <w:rFonts w:hAnsi="宋体" w:cs="Arial"/>
          <w:sz w:val="18"/>
          <w:szCs w:val="18"/>
        </w:rPr>
        <w:sectPr>
          <w:type w:val="continuous"/>
          <w:pgSz w:w="11906" w:h="16838"/>
          <w:pgMar w:top="567" w:right="1134" w:bottom="1134" w:left="1418" w:header="1418" w:footer="1134" w:gutter="0"/>
          <w:cols w:equalWidth="0" w:num="2">
            <w:col w:w="7348" w:space="425"/>
            <w:col w:w="1580"/>
          </w:cols>
          <w:formProt w:val="0"/>
          <w:docGrid w:type="lines" w:linePitch="312" w:charSpace="0"/>
        </w:sectPr>
      </w:pPr>
    </w:p>
    <w:p>
      <w:pPr>
        <w:pStyle w:val="70"/>
        <w:spacing w:before="156" w:beforeLines="50"/>
        <w:ind w:firstLine="0" w:firstLineChars="0"/>
        <w:jc w:val="center"/>
        <w:rPr>
          <w:rFonts w:ascii="黑体" w:hAnsi="黑体" w:eastAsia="黑体" w:cs="Arial"/>
        </w:rPr>
      </w:pPr>
      <w:r>
        <w:rPr>
          <w:rFonts w:hint="eastAsia" w:ascii="黑体" w:hAnsi="黑体" w:eastAsia="黑体" w:cs="Arial"/>
        </w:rPr>
        <w:t xml:space="preserve">图1 </w:t>
      </w:r>
      <w:r>
        <w:rPr>
          <w:rFonts w:ascii="黑体" w:hAnsi="黑体" w:eastAsia="黑体" w:cs="Arial"/>
        </w:rPr>
        <w:t xml:space="preserve"> </w:t>
      </w:r>
      <w:r>
        <w:rPr>
          <w:rFonts w:hint="eastAsia" w:ascii="黑体" w:hAnsi="黑体" w:eastAsia="黑体" w:cs="Arial"/>
        </w:rPr>
        <w:t>卧式活套基本型式</w:t>
      </w:r>
    </w:p>
    <w:p>
      <w:pPr>
        <w:pStyle w:val="157"/>
        <w:numPr>
          <w:ilvl w:val="1"/>
          <w:numId w:val="19"/>
        </w:numPr>
        <w:spacing w:before="156" w:beforeLines="50" w:after="156" w:afterLines="50"/>
        <w:rPr>
          <w:rFonts w:hAnsi="黑体" w:cs="Arial"/>
        </w:rPr>
      </w:pPr>
      <w:bookmarkStart w:id="77" w:name="_Toc680"/>
      <w:bookmarkStart w:id="78" w:name="_Toc140329322"/>
      <w:r>
        <w:rPr>
          <w:rFonts w:hint="eastAsia" w:hAnsi="黑体" w:cs="Arial"/>
        </w:rPr>
        <w:t>标记</w:t>
      </w:r>
      <w:bookmarkEnd w:id="77"/>
      <w:bookmarkEnd w:id="78"/>
    </w:p>
    <w:p>
      <w:pPr>
        <w:pStyle w:val="70"/>
        <w:spacing w:after="312" w:afterLines="100"/>
      </w:pPr>
      <w:r>
        <w:rPr>
          <w:rFonts w:hint="eastAsia"/>
        </w:rPr>
        <w:t>卧式活套的型号标记表示方法见图2。</w:t>
      </w:r>
    </w:p>
    <w:p>
      <w:pPr>
        <w:pStyle w:val="70"/>
        <w:ind w:left="0" w:leftChars="0" w:firstLine="0" w:firstLineChars="0"/>
        <w:jc w:val="center"/>
      </w:pPr>
      <w:r>
        <w:drawing>
          <wp:inline distT="0" distB="0" distL="114300" distR="114300">
            <wp:extent cx="4093210" cy="2244725"/>
            <wp:effectExtent l="0" t="0" r="0" b="3175"/>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8"/>
                    <a:stretch>
                      <a:fillRect/>
                    </a:stretch>
                  </pic:blipFill>
                  <pic:spPr>
                    <a:xfrm>
                      <a:off x="0" y="0"/>
                      <a:ext cx="4093210" cy="2244725"/>
                    </a:xfrm>
                    <a:prstGeom prst="rect">
                      <a:avLst/>
                    </a:prstGeom>
                    <a:noFill/>
                    <a:ln>
                      <a:noFill/>
                    </a:ln>
                  </pic:spPr>
                </pic:pic>
              </a:graphicData>
            </a:graphic>
          </wp:inline>
        </w:drawing>
      </w:r>
    </w:p>
    <w:p>
      <w:pPr>
        <w:pStyle w:val="70"/>
        <w:ind w:firstLine="0" w:firstLineChars="0"/>
        <w:jc w:val="center"/>
        <w:rPr>
          <w:rFonts w:eastAsia="黑体"/>
        </w:rPr>
      </w:pPr>
      <w:r>
        <w:rPr>
          <w:rFonts w:hint="eastAsia" w:ascii="黑体" w:hAnsi="黑体" w:eastAsia="黑体" w:cs="Arial"/>
        </w:rPr>
        <w:t xml:space="preserve">图2 </w:t>
      </w:r>
      <w:r>
        <w:rPr>
          <w:rFonts w:ascii="黑体" w:hAnsi="黑体" w:eastAsia="黑体" w:cs="Arial"/>
        </w:rPr>
        <w:t xml:space="preserve"> </w:t>
      </w:r>
      <w:r>
        <w:rPr>
          <w:rFonts w:hint="eastAsia" w:ascii="黑体" w:hAnsi="黑体" w:eastAsia="黑体" w:cs="Arial"/>
        </w:rPr>
        <w:t>标记方法</w:t>
      </w:r>
    </w:p>
    <w:p>
      <w:pPr>
        <w:pStyle w:val="70"/>
        <w:ind w:firstLine="360"/>
        <w:rPr>
          <w:sz w:val="18"/>
          <w:szCs w:val="18"/>
        </w:rPr>
      </w:pPr>
      <w:r>
        <w:rPr>
          <w:rFonts w:hint="eastAsia"/>
          <w:sz w:val="18"/>
          <w:szCs w:val="18"/>
        </w:rPr>
        <w:t>示例：</w:t>
      </w:r>
    </w:p>
    <w:p>
      <w:pPr>
        <w:pStyle w:val="70"/>
        <w:ind w:firstLine="360"/>
        <w:rPr>
          <w:sz w:val="18"/>
          <w:szCs w:val="18"/>
        </w:rPr>
      </w:pPr>
      <w:r>
        <w:rPr>
          <w:rFonts w:hint="eastAsia"/>
          <w:sz w:val="18"/>
          <w:szCs w:val="18"/>
        </w:rPr>
        <w:t>符合本文件规定的，转向辊直径1</w:t>
      </w:r>
      <w:r>
        <w:rPr>
          <w:rFonts w:hint="eastAsia"/>
          <w:sz w:val="18"/>
          <w:szCs w:val="18"/>
          <w:lang w:val="en-US" w:eastAsia="zh-CN"/>
        </w:rPr>
        <w:t xml:space="preserve"> </w:t>
      </w:r>
      <w:r>
        <w:rPr>
          <w:rFonts w:hint="eastAsia"/>
          <w:sz w:val="18"/>
          <w:szCs w:val="18"/>
        </w:rPr>
        <w:t>200mm，转向辊长度1</w:t>
      </w:r>
      <w:r>
        <w:rPr>
          <w:rFonts w:hint="eastAsia"/>
          <w:sz w:val="18"/>
          <w:szCs w:val="18"/>
          <w:lang w:val="en-US" w:eastAsia="zh-CN"/>
        </w:rPr>
        <w:t xml:space="preserve"> </w:t>
      </w:r>
      <w:r>
        <w:rPr>
          <w:rFonts w:hint="eastAsia"/>
          <w:sz w:val="18"/>
          <w:szCs w:val="18"/>
        </w:rPr>
        <w:t>700mm，活套层数4层，套量600m，驱动方式为绳轮驱动，生产线传动方向为右传动的冷连轧卧式活套，其型号标记为：</w:t>
      </w:r>
    </w:p>
    <w:p>
      <w:pPr>
        <w:pStyle w:val="70"/>
        <w:ind w:firstLine="0" w:firstLineChars="0"/>
        <w:jc w:val="center"/>
        <w:rPr>
          <w:sz w:val="18"/>
          <w:szCs w:val="18"/>
        </w:rPr>
      </w:pPr>
      <w:r>
        <w:rPr>
          <w:rFonts w:hint="eastAsia"/>
          <w:sz w:val="18"/>
          <w:szCs w:val="18"/>
        </w:rPr>
        <w:t>卧式活套  WH1200/1700-4-600  JB/T XXXXX</w:t>
      </w:r>
    </w:p>
    <w:p>
      <w:pPr>
        <w:pStyle w:val="157"/>
        <w:numPr>
          <w:ilvl w:val="0"/>
          <w:numId w:val="19"/>
        </w:numPr>
        <w:outlineLvl w:val="0"/>
        <w:rPr>
          <w:color w:val="000000"/>
        </w:rPr>
      </w:pPr>
      <w:bookmarkStart w:id="79" w:name="_Toc360707068"/>
      <w:bookmarkStart w:id="80" w:name="_Toc17270"/>
      <w:bookmarkStart w:id="81" w:name="_Toc321755025"/>
      <w:bookmarkStart w:id="82" w:name="_Toc326825449"/>
      <w:bookmarkStart w:id="83" w:name="_Toc140329324"/>
      <w:r>
        <w:rPr>
          <w:rFonts w:hint="eastAsia"/>
        </w:rPr>
        <w:t>基本</w:t>
      </w:r>
      <w:r>
        <w:rPr>
          <w:rFonts w:hint="eastAsia"/>
          <w:color w:val="000000"/>
        </w:rPr>
        <w:t>参数</w:t>
      </w:r>
      <w:bookmarkEnd w:id="79"/>
      <w:bookmarkEnd w:id="80"/>
      <w:bookmarkEnd w:id="81"/>
      <w:bookmarkEnd w:id="82"/>
      <w:bookmarkEnd w:id="83"/>
    </w:p>
    <w:p>
      <w:pPr>
        <w:pStyle w:val="70"/>
        <w:ind w:firstLine="0" w:firstLineChars="0"/>
      </w:pPr>
      <w:r>
        <w:t xml:space="preserve">  </w:t>
      </w:r>
      <w:r>
        <w:rPr>
          <w:rFonts w:hint="eastAsia"/>
        </w:rPr>
        <w:t>卧式活套的基本参数应符合表1的规定。</w:t>
      </w:r>
    </w:p>
    <w:p>
      <w:pPr>
        <w:pStyle w:val="70"/>
        <w:spacing w:before="156" w:beforeLines="50" w:after="156" w:afterLines="50"/>
        <w:ind w:firstLine="0" w:firstLineChars="0"/>
        <w:jc w:val="center"/>
        <w:rPr>
          <w:rFonts w:ascii="黑体" w:hAnsi="黑体" w:eastAsia="黑体"/>
        </w:rPr>
      </w:pPr>
      <w:r>
        <w:rPr>
          <w:rFonts w:hint="eastAsia" w:ascii="黑体" w:hAnsi="黑体" w:eastAsia="黑体"/>
        </w:rPr>
        <w:t>表1  基本参数</w:t>
      </w:r>
    </w:p>
    <w:tbl>
      <w:tblPr>
        <w:tblStyle w:val="41"/>
        <w:tblW w:w="938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4"/>
        <w:gridCol w:w="995"/>
        <w:gridCol w:w="1121"/>
        <w:gridCol w:w="955"/>
        <w:gridCol w:w="1220"/>
        <w:gridCol w:w="1110"/>
        <w:gridCol w:w="1408"/>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blHeader/>
        </w:trPr>
        <w:tc>
          <w:tcPr>
            <w:tcW w:w="1264"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基本型号</w:t>
            </w:r>
          </w:p>
        </w:tc>
        <w:tc>
          <w:tcPr>
            <w:tcW w:w="995" w:type="dxa"/>
            <w:shd w:val="clear" w:color="auto" w:fill="auto"/>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带钢厚度</w:t>
            </w:r>
          </w:p>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mm</w:t>
            </w:r>
          </w:p>
        </w:tc>
        <w:tc>
          <w:tcPr>
            <w:tcW w:w="1121" w:type="dxa"/>
            <w:shd w:val="clear" w:color="auto" w:fill="auto"/>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带钢宽度</w:t>
            </w:r>
          </w:p>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mm</w:t>
            </w:r>
          </w:p>
        </w:tc>
        <w:tc>
          <w:tcPr>
            <w:tcW w:w="955" w:type="dxa"/>
            <w:shd w:val="clear" w:color="auto" w:fill="auto"/>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张力</w:t>
            </w:r>
          </w:p>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kN</w:t>
            </w:r>
          </w:p>
        </w:tc>
        <w:tc>
          <w:tcPr>
            <w:tcW w:w="1220" w:type="dxa"/>
            <w:shd w:val="clear" w:color="auto" w:fill="auto"/>
            <w:vAlign w:val="center"/>
          </w:tcPr>
          <w:p>
            <w:pPr>
              <w:keepNext w:val="0"/>
              <w:keepLines w:val="0"/>
              <w:pageBreakBefore w:val="0"/>
              <w:widowControl/>
              <w:kinsoku/>
              <w:wordWrap/>
              <w:overflowPunct/>
              <w:topLinePunct w:val="0"/>
              <w:autoSpaceDE/>
              <w:autoSpaceDN/>
              <w:bidi w:val="0"/>
              <w:adjustRightInd/>
              <w:snapToGrid/>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套量</w:t>
            </w:r>
            <w:r>
              <w:rPr>
                <w:rFonts w:hint="eastAsia" w:ascii="宋体" w:hAnsi="宋体" w:eastAsia="宋体" w:cs="宋体"/>
                <w:color w:val="000000"/>
                <w:kern w:val="0"/>
                <w:sz w:val="18"/>
                <w:szCs w:val="18"/>
                <w:vertAlign w:val="superscript"/>
                <w:lang w:bidi="ar"/>
              </w:rPr>
              <w:t>a</w:t>
            </w:r>
          </w:p>
          <w:p>
            <w:pPr>
              <w:keepNext w:val="0"/>
              <w:keepLines w:val="0"/>
              <w:pageBreakBefore w:val="0"/>
              <w:widowControl/>
              <w:kinsoku/>
              <w:wordWrap/>
              <w:overflowPunct/>
              <w:topLinePunct w:val="0"/>
              <w:autoSpaceDE/>
              <w:autoSpaceDN/>
              <w:bidi w:val="0"/>
              <w:adjustRightInd/>
              <w:snapToGrid/>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m</w:t>
            </w:r>
          </w:p>
        </w:tc>
        <w:tc>
          <w:tcPr>
            <w:tcW w:w="1110" w:type="dxa"/>
            <w:shd w:val="clear" w:color="auto" w:fill="auto"/>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活套层数</w:t>
            </w:r>
            <w:r>
              <w:rPr>
                <w:rFonts w:hint="eastAsia" w:ascii="宋体" w:hAnsi="宋体" w:eastAsia="宋体" w:cs="宋体"/>
                <w:color w:val="000000"/>
                <w:kern w:val="0"/>
                <w:sz w:val="18"/>
                <w:szCs w:val="18"/>
                <w:vertAlign w:val="superscript"/>
                <w:lang w:val="en-US" w:eastAsia="zh-CN" w:bidi="ar"/>
              </w:rPr>
              <w:t>b</w:t>
            </w:r>
          </w:p>
        </w:tc>
        <w:tc>
          <w:tcPr>
            <w:tcW w:w="1408" w:type="dxa"/>
            <w:shd w:val="clear" w:color="auto" w:fill="auto"/>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转向辊直径</w:t>
            </w:r>
          </w:p>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mm</w:t>
            </w:r>
          </w:p>
        </w:tc>
        <w:tc>
          <w:tcPr>
            <w:tcW w:w="1307" w:type="dxa"/>
            <w:shd w:val="clear" w:color="auto" w:fill="auto"/>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转向辊长度</w:t>
            </w:r>
          </w:p>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264"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WH1000/1200</w:t>
            </w:r>
          </w:p>
        </w:tc>
        <w:tc>
          <w:tcPr>
            <w:tcW w:w="995" w:type="dxa"/>
            <w:vMerge w:val="restart"/>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1.2～3.2</w:t>
            </w:r>
          </w:p>
        </w:tc>
        <w:tc>
          <w:tcPr>
            <w:tcW w:w="1121"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500～750</w:t>
            </w:r>
          </w:p>
        </w:tc>
        <w:tc>
          <w:tcPr>
            <w:tcW w:w="955"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11～30</w:t>
            </w:r>
          </w:p>
        </w:tc>
        <w:tc>
          <w:tcPr>
            <w:tcW w:w="122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180～450</w:t>
            </w:r>
          </w:p>
        </w:tc>
        <w:tc>
          <w:tcPr>
            <w:tcW w:w="111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2,4</w:t>
            </w:r>
          </w:p>
        </w:tc>
        <w:tc>
          <w:tcPr>
            <w:tcW w:w="1408"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1 000</w:t>
            </w:r>
          </w:p>
        </w:tc>
        <w:tc>
          <w:tcPr>
            <w:tcW w:w="1307"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264" w:type="dxa"/>
            <w:vMerge w:val="continue"/>
            <w:shd w:val="clear" w:color="auto" w:fill="auto"/>
            <w:noWrap/>
            <w:vAlign w:val="center"/>
          </w:tcPr>
          <w:p>
            <w:pPr>
              <w:jc w:val="center"/>
              <w:rPr>
                <w:rFonts w:ascii="宋体" w:hAnsi="宋体" w:eastAsia="宋体" w:cs="宋体"/>
                <w:color w:val="000000"/>
                <w:sz w:val="18"/>
                <w:szCs w:val="18"/>
              </w:rPr>
            </w:pPr>
          </w:p>
        </w:tc>
        <w:tc>
          <w:tcPr>
            <w:tcW w:w="995" w:type="dxa"/>
            <w:vMerge w:val="continue"/>
            <w:shd w:val="clear" w:color="auto" w:fill="auto"/>
            <w:vAlign w:val="center"/>
          </w:tcPr>
          <w:p>
            <w:pPr>
              <w:widowControl/>
              <w:jc w:val="left"/>
              <w:textAlignment w:val="center"/>
              <w:rPr>
                <w:rFonts w:ascii="宋体" w:hAnsi="宋体" w:eastAsia="宋体" w:cs="宋体"/>
                <w:color w:val="000000"/>
                <w:sz w:val="18"/>
                <w:szCs w:val="18"/>
              </w:rPr>
            </w:pPr>
          </w:p>
        </w:tc>
        <w:tc>
          <w:tcPr>
            <w:tcW w:w="1121" w:type="dxa"/>
            <w:vMerge w:val="continue"/>
            <w:shd w:val="clear" w:color="auto" w:fill="auto"/>
            <w:noWrap/>
            <w:vAlign w:val="center"/>
          </w:tcPr>
          <w:p>
            <w:pPr>
              <w:jc w:val="center"/>
              <w:rPr>
                <w:rFonts w:ascii="宋体" w:hAnsi="宋体" w:eastAsia="宋体" w:cs="宋体"/>
                <w:color w:val="000000"/>
                <w:sz w:val="18"/>
                <w:szCs w:val="18"/>
              </w:rPr>
            </w:pPr>
          </w:p>
        </w:tc>
        <w:tc>
          <w:tcPr>
            <w:tcW w:w="955" w:type="dxa"/>
            <w:vMerge w:val="continue"/>
            <w:shd w:val="clear" w:color="auto" w:fill="auto"/>
            <w:noWrap/>
            <w:vAlign w:val="center"/>
          </w:tcPr>
          <w:p>
            <w:pPr>
              <w:jc w:val="center"/>
              <w:rPr>
                <w:rFonts w:ascii="宋体" w:hAnsi="宋体" w:eastAsia="宋体" w:cs="宋体"/>
                <w:color w:val="000000"/>
                <w:sz w:val="18"/>
                <w:szCs w:val="18"/>
              </w:rPr>
            </w:pPr>
          </w:p>
        </w:tc>
        <w:tc>
          <w:tcPr>
            <w:tcW w:w="122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230～550</w:t>
            </w:r>
          </w:p>
        </w:tc>
        <w:tc>
          <w:tcPr>
            <w:tcW w:w="111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2,4</w:t>
            </w:r>
          </w:p>
        </w:tc>
        <w:tc>
          <w:tcPr>
            <w:tcW w:w="1408" w:type="dxa"/>
            <w:vMerge w:val="continue"/>
            <w:shd w:val="clear" w:color="auto" w:fill="auto"/>
            <w:noWrap/>
            <w:vAlign w:val="center"/>
          </w:tcPr>
          <w:p>
            <w:pPr>
              <w:jc w:val="center"/>
              <w:rPr>
                <w:rFonts w:ascii="宋体" w:hAnsi="宋体" w:eastAsia="宋体" w:cs="宋体"/>
                <w:color w:val="000000"/>
                <w:sz w:val="18"/>
                <w:szCs w:val="18"/>
              </w:rPr>
            </w:pPr>
          </w:p>
        </w:tc>
        <w:tc>
          <w:tcPr>
            <w:tcW w:w="1307"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264" w:type="dxa"/>
            <w:vMerge w:val="continue"/>
            <w:shd w:val="clear" w:color="auto" w:fill="auto"/>
            <w:noWrap/>
            <w:vAlign w:val="center"/>
          </w:tcPr>
          <w:p>
            <w:pPr>
              <w:jc w:val="center"/>
              <w:rPr>
                <w:rFonts w:ascii="宋体" w:hAnsi="宋体" w:eastAsia="宋体" w:cs="宋体"/>
                <w:color w:val="000000"/>
                <w:sz w:val="18"/>
                <w:szCs w:val="18"/>
              </w:rPr>
            </w:pPr>
          </w:p>
        </w:tc>
        <w:tc>
          <w:tcPr>
            <w:tcW w:w="995" w:type="dxa"/>
            <w:vMerge w:val="continue"/>
            <w:shd w:val="clear" w:color="auto" w:fill="auto"/>
            <w:vAlign w:val="center"/>
          </w:tcPr>
          <w:p>
            <w:pPr>
              <w:widowControl/>
              <w:jc w:val="left"/>
              <w:textAlignment w:val="center"/>
              <w:rPr>
                <w:rFonts w:ascii="宋体" w:hAnsi="宋体" w:eastAsia="宋体" w:cs="宋体"/>
                <w:color w:val="000000"/>
                <w:sz w:val="18"/>
                <w:szCs w:val="18"/>
              </w:rPr>
            </w:pPr>
          </w:p>
        </w:tc>
        <w:tc>
          <w:tcPr>
            <w:tcW w:w="1121" w:type="dxa"/>
            <w:vMerge w:val="continue"/>
            <w:shd w:val="clear" w:color="auto" w:fill="auto"/>
            <w:noWrap/>
            <w:vAlign w:val="center"/>
          </w:tcPr>
          <w:p>
            <w:pPr>
              <w:jc w:val="center"/>
              <w:rPr>
                <w:rFonts w:ascii="宋体" w:hAnsi="宋体" w:eastAsia="宋体" w:cs="宋体"/>
                <w:color w:val="000000"/>
                <w:sz w:val="18"/>
                <w:szCs w:val="18"/>
              </w:rPr>
            </w:pPr>
          </w:p>
        </w:tc>
        <w:tc>
          <w:tcPr>
            <w:tcW w:w="955" w:type="dxa"/>
            <w:vMerge w:val="continue"/>
            <w:shd w:val="clear" w:color="auto" w:fill="auto"/>
            <w:noWrap/>
            <w:vAlign w:val="center"/>
          </w:tcPr>
          <w:p>
            <w:pPr>
              <w:jc w:val="center"/>
              <w:rPr>
                <w:rFonts w:ascii="宋体" w:hAnsi="宋体" w:eastAsia="宋体" w:cs="宋体"/>
                <w:color w:val="000000"/>
                <w:sz w:val="18"/>
                <w:szCs w:val="18"/>
              </w:rPr>
            </w:pPr>
          </w:p>
        </w:tc>
        <w:tc>
          <w:tcPr>
            <w:tcW w:w="122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270～640</w:t>
            </w:r>
          </w:p>
        </w:tc>
        <w:tc>
          <w:tcPr>
            <w:tcW w:w="111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2,4,6</w:t>
            </w:r>
          </w:p>
        </w:tc>
        <w:tc>
          <w:tcPr>
            <w:tcW w:w="1408" w:type="dxa"/>
            <w:vMerge w:val="continue"/>
            <w:shd w:val="clear" w:color="auto" w:fill="auto"/>
            <w:noWrap/>
            <w:vAlign w:val="center"/>
          </w:tcPr>
          <w:p>
            <w:pPr>
              <w:jc w:val="center"/>
              <w:rPr>
                <w:rFonts w:ascii="宋体" w:hAnsi="宋体" w:eastAsia="宋体" w:cs="宋体"/>
                <w:color w:val="000000"/>
                <w:sz w:val="18"/>
                <w:szCs w:val="18"/>
              </w:rPr>
            </w:pPr>
          </w:p>
        </w:tc>
        <w:tc>
          <w:tcPr>
            <w:tcW w:w="1307"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264" w:type="dxa"/>
            <w:vMerge w:val="restart"/>
            <w:shd w:val="clear" w:color="auto" w:fill="auto"/>
            <w:noWrap/>
            <w:vAlign w:val="center"/>
          </w:tcPr>
          <w:p>
            <w:pPr>
              <w:jc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WH1000/1500</w:t>
            </w:r>
          </w:p>
        </w:tc>
        <w:tc>
          <w:tcPr>
            <w:tcW w:w="995" w:type="dxa"/>
            <w:vMerge w:val="continue"/>
            <w:shd w:val="clear" w:color="auto" w:fill="auto"/>
            <w:vAlign w:val="center"/>
          </w:tcPr>
          <w:p>
            <w:pPr>
              <w:widowControl/>
              <w:jc w:val="left"/>
              <w:textAlignment w:val="center"/>
              <w:rPr>
                <w:rFonts w:ascii="宋体" w:hAnsi="宋体" w:eastAsia="宋体" w:cs="宋体"/>
                <w:color w:val="000000"/>
                <w:sz w:val="18"/>
                <w:szCs w:val="18"/>
              </w:rPr>
            </w:pPr>
          </w:p>
        </w:tc>
        <w:tc>
          <w:tcPr>
            <w:tcW w:w="1121"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650～1 080</w:t>
            </w:r>
          </w:p>
        </w:tc>
        <w:tc>
          <w:tcPr>
            <w:tcW w:w="955"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14～45</w:t>
            </w:r>
          </w:p>
        </w:tc>
        <w:tc>
          <w:tcPr>
            <w:tcW w:w="122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180～450</w:t>
            </w:r>
          </w:p>
        </w:tc>
        <w:tc>
          <w:tcPr>
            <w:tcW w:w="111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2,4</w:t>
            </w:r>
          </w:p>
        </w:tc>
        <w:tc>
          <w:tcPr>
            <w:tcW w:w="1408"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1 000</w:t>
            </w:r>
          </w:p>
        </w:tc>
        <w:tc>
          <w:tcPr>
            <w:tcW w:w="1307"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264" w:type="dxa"/>
            <w:vMerge w:val="continue"/>
            <w:shd w:val="clear" w:color="auto" w:fill="auto"/>
            <w:noWrap/>
            <w:vAlign w:val="center"/>
          </w:tcPr>
          <w:p>
            <w:pPr>
              <w:jc w:val="center"/>
              <w:rPr>
                <w:rFonts w:ascii="宋体" w:hAnsi="宋体" w:eastAsia="宋体" w:cs="宋体"/>
                <w:color w:val="000000"/>
                <w:sz w:val="18"/>
                <w:szCs w:val="18"/>
              </w:rPr>
            </w:pPr>
          </w:p>
        </w:tc>
        <w:tc>
          <w:tcPr>
            <w:tcW w:w="995" w:type="dxa"/>
            <w:vMerge w:val="continue"/>
            <w:shd w:val="clear" w:color="auto" w:fill="auto"/>
            <w:vAlign w:val="center"/>
          </w:tcPr>
          <w:p>
            <w:pPr>
              <w:widowControl/>
              <w:jc w:val="left"/>
              <w:textAlignment w:val="center"/>
              <w:rPr>
                <w:rFonts w:ascii="宋体" w:hAnsi="宋体" w:eastAsia="宋体" w:cs="宋体"/>
                <w:color w:val="000000"/>
                <w:sz w:val="18"/>
                <w:szCs w:val="18"/>
              </w:rPr>
            </w:pPr>
          </w:p>
        </w:tc>
        <w:tc>
          <w:tcPr>
            <w:tcW w:w="1121" w:type="dxa"/>
            <w:vMerge w:val="continue"/>
            <w:shd w:val="clear" w:color="auto" w:fill="auto"/>
            <w:noWrap/>
            <w:vAlign w:val="center"/>
          </w:tcPr>
          <w:p>
            <w:pPr>
              <w:jc w:val="center"/>
              <w:rPr>
                <w:rFonts w:ascii="宋体" w:hAnsi="宋体" w:eastAsia="宋体" w:cs="宋体"/>
                <w:color w:val="000000"/>
                <w:sz w:val="18"/>
                <w:szCs w:val="18"/>
              </w:rPr>
            </w:pPr>
          </w:p>
        </w:tc>
        <w:tc>
          <w:tcPr>
            <w:tcW w:w="955" w:type="dxa"/>
            <w:vMerge w:val="continue"/>
            <w:shd w:val="clear" w:color="auto" w:fill="auto"/>
            <w:noWrap/>
            <w:vAlign w:val="center"/>
          </w:tcPr>
          <w:p>
            <w:pPr>
              <w:jc w:val="center"/>
              <w:rPr>
                <w:rFonts w:ascii="宋体" w:hAnsi="宋体" w:eastAsia="宋体" w:cs="宋体"/>
                <w:color w:val="000000"/>
                <w:sz w:val="18"/>
                <w:szCs w:val="18"/>
              </w:rPr>
            </w:pPr>
          </w:p>
        </w:tc>
        <w:tc>
          <w:tcPr>
            <w:tcW w:w="122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230～550</w:t>
            </w:r>
          </w:p>
        </w:tc>
        <w:tc>
          <w:tcPr>
            <w:tcW w:w="111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2,4</w:t>
            </w:r>
          </w:p>
        </w:tc>
        <w:tc>
          <w:tcPr>
            <w:tcW w:w="1408" w:type="dxa"/>
            <w:vMerge w:val="continue"/>
            <w:shd w:val="clear" w:color="auto" w:fill="auto"/>
            <w:noWrap/>
            <w:vAlign w:val="center"/>
          </w:tcPr>
          <w:p>
            <w:pPr>
              <w:jc w:val="center"/>
              <w:rPr>
                <w:rFonts w:ascii="宋体" w:hAnsi="宋体" w:eastAsia="宋体" w:cs="宋体"/>
                <w:color w:val="000000"/>
                <w:sz w:val="18"/>
                <w:szCs w:val="18"/>
              </w:rPr>
            </w:pPr>
          </w:p>
        </w:tc>
        <w:tc>
          <w:tcPr>
            <w:tcW w:w="1307"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264" w:type="dxa"/>
            <w:vMerge w:val="continue"/>
            <w:shd w:val="clear" w:color="auto" w:fill="auto"/>
            <w:noWrap/>
            <w:vAlign w:val="center"/>
          </w:tcPr>
          <w:p>
            <w:pPr>
              <w:jc w:val="center"/>
              <w:rPr>
                <w:rFonts w:ascii="宋体" w:hAnsi="宋体" w:eastAsia="宋体" w:cs="宋体"/>
                <w:color w:val="000000"/>
                <w:sz w:val="18"/>
                <w:szCs w:val="18"/>
              </w:rPr>
            </w:pPr>
          </w:p>
        </w:tc>
        <w:tc>
          <w:tcPr>
            <w:tcW w:w="995" w:type="dxa"/>
            <w:vMerge w:val="continue"/>
            <w:shd w:val="clear" w:color="auto" w:fill="auto"/>
            <w:vAlign w:val="center"/>
          </w:tcPr>
          <w:p>
            <w:pPr>
              <w:widowControl/>
              <w:jc w:val="left"/>
              <w:textAlignment w:val="center"/>
              <w:rPr>
                <w:rFonts w:ascii="宋体" w:hAnsi="宋体" w:eastAsia="宋体" w:cs="宋体"/>
                <w:color w:val="000000"/>
                <w:sz w:val="18"/>
                <w:szCs w:val="18"/>
              </w:rPr>
            </w:pPr>
          </w:p>
        </w:tc>
        <w:tc>
          <w:tcPr>
            <w:tcW w:w="1121" w:type="dxa"/>
            <w:vMerge w:val="continue"/>
            <w:shd w:val="clear" w:color="auto" w:fill="auto"/>
            <w:noWrap/>
            <w:vAlign w:val="center"/>
          </w:tcPr>
          <w:p>
            <w:pPr>
              <w:jc w:val="center"/>
              <w:rPr>
                <w:rFonts w:ascii="宋体" w:hAnsi="宋体" w:eastAsia="宋体" w:cs="宋体"/>
                <w:color w:val="000000"/>
                <w:sz w:val="18"/>
                <w:szCs w:val="18"/>
              </w:rPr>
            </w:pPr>
          </w:p>
        </w:tc>
        <w:tc>
          <w:tcPr>
            <w:tcW w:w="955" w:type="dxa"/>
            <w:vMerge w:val="continue"/>
            <w:shd w:val="clear" w:color="auto" w:fill="auto"/>
            <w:noWrap/>
            <w:vAlign w:val="center"/>
          </w:tcPr>
          <w:p>
            <w:pPr>
              <w:jc w:val="center"/>
              <w:rPr>
                <w:rFonts w:ascii="宋体" w:hAnsi="宋体" w:eastAsia="宋体" w:cs="宋体"/>
                <w:color w:val="000000"/>
                <w:sz w:val="18"/>
                <w:szCs w:val="18"/>
              </w:rPr>
            </w:pPr>
          </w:p>
        </w:tc>
        <w:tc>
          <w:tcPr>
            <w:tcW w:w="122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270～640</w:t>
            </w:r>
          </w:p>
        </w:tc>
        <w:tc>
          <w:tcPr>
            <w:tcW w:w="111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2,4,6</w:t>
            </w:r>
          </w:p>
        </w:tc>
        <w:tc>
          <w:tcPr>
            <w:tcW w:w="1408" w:type="dxa"/>
            <w:vMerge w:val="continue"/>
            <w:shd w:val="clear" w:color="auto" w:fill="auto"/>
            <w:noWrap/>
            <w:vAlign w:val="center"/>
          </w:tcPr>
          <w:p>
            <w:pPr>
              <w:jc w:val="center"/>
              <w:rPr>
                <w:rFonts w:ascii="宋体" w:hAnsi="宋体" w:eastAsia="宋体" w:cs="宋体"/>
                <w:color w:val="000000"/>
                <w:sz w:val="18"/>
                <w:szCs w:val="18"/>
              </w:rPr>
            </w:pPr>
          </w:p>
        </w:tc>
        <w:tc>
          <w:tcPr>
            <w:tcW w:w="1307"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264" w:type="dxa"/>
            <w:vMerge w:val="restart"/>
            <w:shd w:val="clear" w:color="auto" w:fill="auto"/>
            <w:noWrap/>
            <w:vAlign w:val="center"/>
          </w:tcPr>
          <w:p>
            <w:pPr>
              <w:jc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WH1000/1700</w:t>
            </w:r>
          </w:p>
        </w:tc>
        <w:tc>
          <w:tcPr>
            <w:tcW w:w="995" w:type="dxa"/>
            <w:vMerge w:val="continue"/>
            <w:shd w:val="clear" w:color="auto" w:fill="auto"/>
            <w:vAlign w:val="center"/>
          </w:tcPr>
          <w:p>
            <w:pPr>
              <w:widowControl/>
              <w:jc w:val="left"/>
              <w:textAlignment w:val="center"/>
              <w:rPr>
                <w:rFonts w:ascii="宋体" w:hAnsi="宋体" w:eastAsia="宋体" w:cs="宋体"/>
                <w:color w:val="000000"/>
                <w:sz w:val="18"/>
                <w:szCs w:val="18"/>
              </w:rPr>
            </w:pPr>
          </w:p>
        </w:tc>
        <w:tc>
          <w:tcPr>
            <w:tcW w:w="1121"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750～1 250</w:t>
            </w:r>
          </w:p>
        </w:tc>
        <w:tc>
          <w:tcPr>
            <w:tcW w:w="955"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17～50</w:t>
            </w:r>
          </w:p>
        </w:tc>
        <w:tc>
          <w:tcPr>
            <w:tcW w:w="122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180～450</w:t>
            </w:r>
          </w:p>
        </w:tc>
        <w:tc>
          <w:tcPr>
            <w:tcW w:w="111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2,4</w:t>
            </w:r>
          </w:p>
        </w:tc>
        <w:tc>
          <w:tcPr>
            <w:tcW w:w="1408"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1 000</w:t>
            </w:r>
          </w:p>
        </w:tc>
        <w:tc>
          <w:tcPr>
            <w:tcW w:w="1307"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264" w:type="dxa"/>
            <w:vMerge w:val="continue"/>
            <w:shd w:val="clear" w:color="auto" w:fill="auto"/>
            <w:noWrap/>
            <w:vAlign w:val="center"/>
          </w:tcPr>
          <w:p>
            <w:pPr>
              <w:jc w:val="center"/>
              <w:rPr>
                <w:rFonts w:ascii="宋体" w:hAnsi="宋体" w:eastAsia="宋体" w:cs="宋体"/>
                <w:color w:val="000000"/>
                <w:sz w:val="18"/>
                <w:szCs w:val="18"/>
              </w:rPr>
            </w:pPr>
          </w:p>
        </w:tc>
        <w:tc>
          <w:tcPr>
            <w:tcW w:w="995" w:type="dxa"/>
            <w:vMerge w:val="continue"/>
            <w:shd w:val="clear" w:color="auto" w:fill="auto"/>
            <w:vAlign w:val="center"/>
          </w:tcPr>
          <w:p>
            <w:pPr>
              <w:widowControl/>
              <w:jc w:val="left"/>
              <w:textAlignment w:val="center"/>
              <w:rPr>
                <w:rFonts w:ascii="宋体" w:hAnsi="宋体" w:eastAsia="宋体" w:cs="宋体"/>
                <w:color w:val="000000"/>
                <w:sz w:val="18"/>
                <w:szCs w:val="18"/>
              </w:rPr>
            </w:pPr>
          </w:p>
        </w:tc>
        <w:tc>
          <w:tcPr>
            <w:tcW w:w="1121" w:type="dxa"/>
            <w:vMerge w:val="continue"/>
            <w:shd w:val="clear" w:color="auto" w:fill="auto"/>
            <w:noWrap/>
            <w:vAlign w:val="center"/>
          </w:tcPr>
          <w:p>
            <w:pPr>
              <w:jc w:val="center"/>
              <w:rPr>
                <w:rFonts w:ascii="宋体" w:hAnsi="宋体" w:eastAsia="宋体" w:cs="宋体"/>
                <w:color w:val="000000"/>
                <w:sz w:val="18"/>
                <w:szCs w:val="18"/>
              </w:rPr>
            </w:pPr>
          </w:p>
        </w:tc>
        <w:tc>
          <w:tcPr>
            <w:tcW w:w="955" w:type="dxa"/>
            <w:vMerge w:val="continue"/>
            <w:shd w:val="clear" w:color="auto" w:fill="auto"/>
            <w:noWrap/>
            <w:vAlign w:val="center"/>
          </w:tcPr>
          <w:p>
            <w:pPr>
              <w:jc w:val="center"/>
              <w:rPr>
                <w:rFonts w:ascii="宋体" w:hAnsi="宋体" w:eastAsia="宋体" w:cs="宋体"/>
                <w:color w:val="000000"/>
                <w:sz w:val="18"/>
                <w:szCs w:val="18"/>
              </w:rPr>
            </w:pPr>
          </w:p>
        </w:tc>
        <w:tc>
          <w:tcPr>
            <w:tcW w:w="122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230～550</w:t>
            </w:r>
          </w:p>
        </w:tc>
        <w:tc>
          <w:tcPr>
            <w:tcW w:w="111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2,4</w:t>
            </w:r>
          </w:p>
        </w:tc>
        <w:tc>
          <w:tcPr>
            <w:tcW w:w="1408" w:type="dxa"/>
            <w:vMerge w:val="continue"/>
            <w:shd w:val="clear" w:color="auto" w:fill="auto"/>
            <w:noWrap/>
            <w:vAlign w:val="center"/>
          </w:tcPr>
          <w:p>
            <w:pPr>
              <w:jc w:val="center"/>
              <w:rPr>
                <w:rFonts w:ascii="宋体" w:hAnsi="宋体" w:eastAsia="宋体" w:cs="宋体"/>
                <w:color w:val="000000"/>
                <w:sz w:val="18"/>
                <w:szCs w:val="18"/>
              </w:rPr>
            </w:pPr>
          </w:p>
        </w:tc>
        <w:tc>
          <w:tcPr>
            <w:tcW w:w="1307"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264" w:type="dxa"/>
            <w:vMerge w:val="continue"/>
            <w:shd w:val="clear" w:color="auto" w:fill="auto"/>
            <w:noWrap/>
            <w:vAlign w:val="center"/>
          </w:tcPr>
          <w:p>
            <w:pPr>
              <w:jc w:val="center"/>
              <w:rPr>
                <w:rFonts w:ascii="宋体" w:hAnsi="宋体" w:eastAsia="宋体" w:cs="宋体"/>
                <w:color w:val="000000"/>
                <w:sz w:val="18"/>
                <w:szCs w:val="18"/>
              </w:rPr>
            </w:pPr>
          </w:p>
        </w:tc>
        <w:tc>
          <w:tcPr>
            <w:tcW w:w="995" w:type="dxa"/>
            <w:vMerge w:val="continue"/>
            <w:shd w:val="clear" w:color="auto" w:fill="auto"/>
            <w:vAlign w:val="center"/>
          </w:tcPr>
          <w:p>
            <w:pPr>
              <w:widowControl/>
              <w:jc w:val="left"/>
              <w:textAlignment w:val="center"/>
              <w:rPr>
                <w:rFonts w:ascii="宋体" w:hAnsi="宋体" w:eastAsia="宋体" w:cs="宋体"/>
                <w:color w:val="000000"/>
                <w:sz w:val="18"/>
                <w:szCs w:val="18"/>
              </w:rPr>
            </w:pPr>
          </w:p>
        </w:tc>
        <w:tc>
          <w:tcPr>
            <w:tcW w:w="1121" w:type="dxa"/>
            <w:vMerge w:val="continue"/>
            <w:shd w:val="clear" w:color="auto" w:fill="auto"/>
            <w:noWrap/>
            <w:vAlign w:val="center"/>
          </w:tcPr>
          <w:p>
            <w:pPr>
              <w:jc w:val="center"/>
              <w:rPr>
                <w:rFonts w:ascii="宋体" w:hAnsi="宋体" w:eastAsia="宋体" w:cs="宋体"/>
                <w:color w:val="000000"/>
                <w:sz w:val="18"/>
                <w:szCs w:val="18"/>
              </w:rPr>
            </w:pPr>
          </w:p>
        </w:tc>
        <w:tc>
          <w:tcPr>
            <w:tcW w:w="955" w:type="dxa"/>
            <w:vMerge w:val="continue"/>
            <w:shd w:val="clear" w:color="auto" w:fill="auto"/>
            <w:noWrap/>
            <w:vAlign w:val="center"/>
          </w:tcPr>
          <w:p>
            <w:pPr>
              <w:jc w:val="center"/>
              <w:rPr>
                <w:rFonts w:ascii="宋体" w:hAnsi="宋体" w:eastAsia="宋体" w:cs="宋体"/>
                <w:color w:val="000000"/>
                <w:sz w:val="18"/>
                <w:szCs w:val="18"/>
              </w:rPr>
            </w:pPr>
          </w:p>
        </w:tc>
        <w:tc>
          <w:tcPr>
            <w:tcW w:w="122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270～640</w:t>
            </w:r>
          </w:p>
        </w:tc>
        <w:tc>
          <w:tcPr>
            <w:tcW w:w="111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2,4,6</w:t>
            </w:r>
          </w:p>
        </w:tc>
        <w:tc>
          <w:tcPr>
            <w:tcW w:w="1408" w:type="dxa"/>
            <w:vMerge w:val="continue"/>
            <w:shd w:val="clear" w:color="auto" w:fill="auto"/>
            <w:noWrap/>
            <w:vAlign w:val="center"/>
          </w:tcPr>
          <w:p>
            <w:pPr>
              <w:jc w:val="center"/>
              <w:rPr>
                <w:rFonts w:ascii="宋体" w:hAnsi="宋体" w:eastAsia="宋体" w:cs="宋体"/>
                <w:color w:val="000000"/>
                <w:sz w:val="18"/>
                <w:szCs w:val="18"/>
              </w:rPr>
            </w:pPr>
          </w:p>
        </w:tc>
        <w:tc>
          <w:tcPr>
            <w:tcW w:w="1307"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264" w:type="dxa"/>
            <w:vMerge w:val="restart"/>
            <w:shd w:val="clear" w:color="auto" w:fill="auto"/>
            <w:noWrap/>
            <w:vAlign w:val="center"/>
          </w:tcPr>
          <w:p>
            <w:pPr>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WH1000/2000</w:t>
            </w:r>
          </w:p>
        </w:tc>
        <w:tc>
          <w:tcPr>
            <w:tcW w:w="995" w:type="dxa"/>
            <w:vMerge w:val="continue"/>
            <w:shd w:val="clear" w:color="auto" w:fill="auto"/>
            <w:vAlign w:val="center"/>
          </w:tcPr>
          <w:p>
            <w:pPr>
              <w:widowControl/>
              <w:jc w:val="left"/>
              <w:textAlignment w:val="center"/>
              <w:rPr>
                <w:rFonts w:ascii="宋体" w:hAnsi="宋体" w:eastAsia="宋体" w:cs="宋体"/>
                <w:color w:val="000000"/>
                <w:sz w:val="18"/>
                <w:szCs w:val="18"/>
              </w:rPr>
            </w:pPr>
          </w:p>
        </w:tc>
        <w:tc>
          <w:tcPr>
            <w:tcW w:w="1121" w:type="dxa"/>
            <w:vMerge w:val="restart"/>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850～1 550</w:t>
            </w:r>
          </w:p>
        </w:tc>
        <w:tc>
          <w:tcPr>
            <w:tcW w:w="955" w:type="dxa"/>
            <w:vMerge w:val="restart"/>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19～65</w:t>
            </w:r>
          </w:p>
        </w:tc>
        <w:tc>
          <w:tcPr>
            <w:tcW w:w="122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180～450</w:t>
            </w:r>
          </w:p>
        </w:tc>
        <w:tc>
          <w:tcPr>
            <w:tcW w:w="111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2,4</w:t>
            </w:r>
          </w:p>
        </w:tc>
        <w:tc>
          <w:tcPr>
            <w:tcW w:w="1408" w:type="dxa"/>
            <w:vMerge w:val="restart"/>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1 000</w:t>
            </w:r>
          </w:p>
        </w:tc>
        <w:tc>
          <w:tcPr>
            <w:tcW w:w="1307" w:type="dxa"/>
            <w:vMerge w:val="restart"/>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264" w:type="dxa"/>
            <w:vMerge w:val="continue"/>
            <w:shd w:val="clear" w:color="auto" w:fill="auto"/>
            <w:noWrap/>
            <w:vAlign w:val="center"/>
          </w:tcPr>
          <w:p>
            <w:pPr>
              <w:jc w:val="center"/>
              <w:rPr>
                <w:rFonts w:ascii="宋体" w:hAnsi="宋体" w:eastAsia="宋体" w:cs="宋体"/>
                <w:color w:val="000000"/>
                <w:kern w:val="0"/>
                <w:sz w:val="18"/>
                <w:szCs w:val="18"/>
                <w:lang w:bidi="ar"/>
              </w:rPr>
            </w:pPr>
          </w:p>
        </w:tc>
        <w:tc>
          <w:tcPr>
            <w:tcW w:w="995" w:type="dxa"/>
            <w:vMerge w:val="continue"/>
            <w:shd w:val="clear" w:color="auto" w:fill="auto"/>
            <w:vAlign w:val="center"/>
          </w:tcPr>
          <w:p>
            <w:pPr>
              <w:widowControl/>
              <w:jc w:val="left"/>
              <w:textAlignment w:val="center"/>
              <w:rPr>
                <w:rFonts w:ascii="宋体" w:hAnsi="宋体" w:eastAsia="宋体" w:cs="宋体"/>
                <w:color w:val="000000"/>
                <w:sz w:val="18"/>
                <w:szCs w:val="18"/>
              </w:rPr>
            </w:pPr>
          </w:p>
        </w:tc>
        <w:tc>
          <w:tcPr>
            <w:tcW w:w="1121" w:type="dxa"/>
            <w:vMerge w:val="continue"/>
            <w:shd w:val="clear" w:color="auto" w:fill="auto"/>
            <w:noWrap/>
            <w:vAlign w:val="center"/>
          </w:tcPr>
          <w:p>
            <w:pPr>
              <w:widowControl/>
              <w:jc w:val="center"/>
              <w:textAlignment w:val="center"/>
              <w:rPr>
                <w:rFonts w:ascii="宋体" w:hAnsi="宋体" w:eastAsia="宋体" w:cs="宋体"/>
                <w:color w:val="000000"/>
                <w:kern w:val="0"/>
                <w:sz w:val="18"/>
                <w:szCs w:val="18"/>
                <w:lang w:bidi="ar"/>
              </w:rPr>
            </w:pPr>
          </w:p>
        </w:tc>
        <w:tc>
          <w:tcPr>
            <w:tcW w:w="955" w:type="dxa"/>
            <w:vMerge w:val="continue"/>
            <w:shd w:val="clear" w:color="auto" w:fill="auto"/>
            <w:noWrap/>
            <w:vAlign w:val="center"/>
          </w:tcPr>
          <w:p>
            <w:pPr>
              <w:widowControl/>
              <w:jc w:val="center"/>
              <w:textAlignment w:val="center"/>
              <w:rPr>
                <w:rFonts w:ascii="宋体" w:hAnsi="宋体" w:eastAsia="宋体" w:cs="宋体"/>
                <w:color w:val="000000"/>
                <w:kern w:val="0"/>
                <w:sz w:val="18"/>
                <w:szCs w:val="18"/>
                <w:lang w:bidi="ar"/>
              </w:rPr>
            </w:pPr>
          </w:p>
        </w:tc>
        <w:tc>
          <w:tcPr>
            <w:tcW w:w="122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230～550</w:t>
            </w:r>
          </w:p>
        </w:tc>
        <w:tc>
          <w:tcPr>
            <w:tcW w:w="111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2,4</w:t>
            </w:r>
          </w:p>
        </w:tc>
        <w:tc>
          <w:tcPr>
            <w:tcW w:w="1408" w:type="dxa"/>
            <w:vMerge w:val="continue"/>
            <w:shd w:val="clear" w:color="auto" w:fill="auto"/>
            <w:noWrap/>
            <w:vAlign w:val="center"/>
          </w:tcPr>
          <w:p>
            <w:pPr>
              <w:widowControl/>
              <w:jc w:val="center"/>
              <w:textAlignment w:val="center"/>
              <w:rPr>
                <w:rFonts w:ascii="宋体" w:hAnsi="宋体" w:eastAsia="宋体" w:cs="宋体"/>
                <w:color w:val="000000"/>
                <w:kern w:val="0"/>
                <w:sz w:val="18"/>
                <w:szCs w:val="18"/>
                <w:lang w:bidi="ar"/>
              </w:rPr>
            </w:pPr>
          </w:p>
        </w:tc>
        <w:tc>
          <w:tcPr>
            <w:tcW w:w="1307" w:type="dxa"/>
            <w:vMerge w:val="continue"/>
            <w:shd w:val="clear" w:color="auto" w:fill="auto"/>
            <w:noWrap/>
            <w:vAlign w:val="center"/>
          </w:tcPr>
          <w:p>
            <w:pPr>
              <w:widowControl/>
              <w:jc w:val="center"/>
              <w:textAlignment w:val="center"/>
              <w:rPr>
                <w:rFonts w:ascii="宋体" w:hAnsi="宋体" w:eastAsia="宋体" w:cs="宋体"/>
                <w:color w:val="000000"/>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64" w:type="dxa"/>
            <w:vMerge w:val="continue"/>
            <w:shd w:val="clear" w:color="auto" w:fill="auto"/>
            <w:noWrap/>
            <w:vAlign w:val="center"/>
          </w:tcPr>
          <w:p>
            <w:pPr>
              <w:jc w:val="center"/>
              <w:rPr>
                <w:rFonts w:ascii="宋体" w:hAnsi="宋体" w:eastAsia="宋体" w:cs="宋体"/>
                <w:color w:val="000000"/>
                <w:kern w:val="0"/>
                <w:sz w:val="18"/>
                <w:szCs w:val="18"/>
                <w:lang w:bidi="ar"/>
              </w:rPr>
            </w:pPr>
          </w:p>
        </w:tc>
        <w:tc>
          <w:tcPr>
            <w:tcW w:w="995" w:type="dxa"/>
            <w:vMerge w:val="continue"/>
            <w:shd w:val="clear" w:color="auto" w:fill="auto"/>
            <w:vAlign w:val="center"/>
          </w:tcPr>
          <w:p>
            <w:pPr>
              <w:widowControl/>
              <w:jc w:val="left"/>
              <w:textAlignment w:val="center"/>
              <w:rPr>
                <w:rFonts w:ascii="宋体" w:hAnsi="宋体" w:eastAsia="宋体" w:cs="宋体"/>
                <w:color w:val="000000"/>
                <w:sz w:val="18"/>
                <w:szCs w:val="18"/>
              </w:rPr>
            </w:pPr>
          </w:p>
        </w:tc>
        <w:tc>
          <w:tcPr>
            <w:tcW w:w="1121" w:type="dxa"/>
            <w:vMerge w:val="continue"/>
            <w:shd w:val="clear" w:color="auto" w:fill="auto"/>
            <w:noWrap/>
            <w:vAlign w:val="center"/>
          </w:tcPr>
          <w:p>
            <w:pPr>
              <w:widowControl/>
              <w:jc w:val="center"/>
              <w:textAlignment w:val="center"/>
              <w:rPr>
                <w:rFonts w:ascii="宋体" w:hAnsi="宋体" w:eastAsia="宋体" w:cs="宋体"/>
                <w:color w:val="000000"/>
                <w:kern w:val="0"/>
                <w:sz w:val="18"/>
                <w:szCs w:val="18"/>
                <w:lang w:bidi="ar"/>
              </w:rPr>
            </w:pPr>
          </w:p>
        </w:tc>
        <w:tc>
          <w:tcPr>
            <w:tcW w:w="955" w:type="dxa"/>
            <w:vMerge w:val="continue"/>
            <w:shd w:val="clear" w:color="auto" w:fill="auto"/>
            <w:noWrap/>
            <w:vAlign w:val="center"/>
          </w:tcPr>
          <w:p>
            <w:pPr>
              <w:widowControl/>
              <w:jc w:val="center"/>
              <w:textAlignment w:val="center"/>
              <w:rPr>
                <w:rFonts w:ascii="宋体" w:hAnsi="宋体" w:eastAsia="宋体" w:cs="宋体"/>
                <w:color w:val="000000"/>
                <w:kern w:val="0"/>
                <w:sz w:val="18"/>
                <w:szCs w:val="18"/>
                <w:lang w:bidi="ar"/>
              </w:rPr>
            </w:pPr>
          </w:p>
        </w:tc>
        <w:tc>
          <w:tcPr>
            <w:tcW w:w="122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270～640</w:t>
            </w:r>
          </w:p>
        </w:tc>
        <w:tc>
          <w:tcPr>
            <w:tcW w:w="111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2,4,6</w:t>
            </w:r>
          </w:p>
        </w:tc>
        <w:tc>
          <w:tcPr>
            <w:tcW w:w="1408" w:type="dxa"/>
            <w:vMerge w:val="continue"/>
            <w:shd w:val="clear" w:color="auto" w:fill="auto"/>
            <w:noWrap/>
            <w:vAlign w:val="center"/>
          </w:tcPr>
          <w:p>
            <w:pPr>
              <w:widowControl/>
              <w:jc w:val="center"/>
              <w:textAlignment w:val="center"/>
              <w:rPr>
                <w:rFonts w:ascii="宋体" w:hAnsi="宋体" w:eastAsia="宋体" w:cs="宋体"/>
                <w:color w:val="000000"/>
                <w:kern w:val="0"/>
                <w:sz w:val="18"/>
                <w:szCs w:val="18"/>
                <w:lang w:bidi="ar"/>
              </w:rPr>
            </w:pPr>
          </w:p>
        </w:tc>
        <w:tc>
          <w:tcPr>
            <w:tcW w:w="1307" w:type="dxa"/>
            <w:vMerge w:val="continue"/>
            <w:shd w:val="clear" w:color="auto" w:fill="auto"/>
            <w:noWrap/>
            <w:vAlign w:val="center"/>
          </w:tcPr>
          <w:p>
            <w:pPr>
              <w:widowControl/>
              <w:jc w:val="center"/>
              <w:textAlignment w:val="center"/>
              <w:rPr>
                <w:rFonts w:ascii="宋体" w:hAnsi="宋体" w:eastAsia="宋体" w:cs="宋体"/>
                <w:color w:val="000000"/>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64" w:type="dxa"/>
            <w:vMerge w:val="restart"/>
            <w:shd w:val="clear" w:color="auto" w:fill="auto"/>
            <w:noWrap/>
            <w:vAlign w:val="center"/>
          </w:tcPr>
          <w:p>
            <w:pPr>
              <w:jc w:val="center"/>
              <w:rPr>
                <w:rFonts w:ascii="宋体" w:hAnsi="宋体" w:eastAsia="宋体" w:cs="宋体"/>
                <w:color w:val="000000"/>
                <w:kern w:val="0"/>
                <w:sz w:val="18"/>
                <w:szCs w:val="18"/>
                <w:lang w:bidi="ar"/>
              </w:rPr>
            </w:pPr>
            <w:bookmarkStart w:id="84" w:name="_Toc320606102"/>
            <w:bookmarkStart w:id="85" w:name="_Toc320608542"/>
            <w:bookmarkStart w:id="86" w:name="_Toc320605975"/>
            <w:bookmarkStart w:id="87" w:name="_Toc320607311"/>
            <w:bookmarkStart w:id="88" w:name="_Toc140329325"/>
            <w:bookmarkStart w:id="89" w:name="_Toc322932374"/>
            <w:bookmarkStart w:id="90" w:name="_Toc320607621"/>
            <w:bookmarkStart w:id="91" w:name="_Toc320608254"/>
            <w:bookmarkStart w:id="92" w:name="_Toc320605898"/>
            <w:bookmarkStart w:id="93" w:name="_Toc320608628"/>
            <w:bookmarkStart w:id="94" w:name="_Toc360707069"/>
            <w:bookmarkStart w:id="95" w:name="_Toc320608725"/>
            <w:bookmarkStart w:id="96" w:name="_Toc320607927"/>
            <w:r>
              <w:rPr>
                <w:rFonts w:hint="eastAsia" w:ascii="宋体" w:hAnsi="宋体" w:eastAsia="宋体" w:cs="宋体"/>
                <w:color w:val="000000"/>
                <w:kern w:val="0"/>
                <w:sz w:val="18"/>
                <w:szCs w:val="18"/>
                <w:lang w:bidi="ar"/>
              </w:rPr>
              <w:t>WH1000/2300</w:t>
            </w:r>
          </w:p>
        </w:tc>
        <w:tc>
          <w:tcPr>
            <w:tcW w:w="995" w:type="dxa"/>
            <w:vMerge w:val="continue"/>
            <w:shd w:val="clear" w:color="auto" w:fill="auto"/>
            <w:vAlign w:val="center"/>
          </w:tcPr>
          <w:p>
            <w:pPr>
              <w:widowControl/>
              <w:jc w:val="left"/>
              <w:textAlignment w:val="center"/>
              <w:rPr>
                <w:rFonts w:ascii="宋体" w:hAnsi="宋体" w:eastAsia="宋体" w:cs="宋体"/>
                <w:color w:val="000000"/>
                <w:sz w:val="18"/>
                <w:szCs w:val="18"/>
              </w:rPr>
            </w:pPr>
          </w:p>
        </w:tc>
        <w:tc>
          <w:tcPr>
            <w:tcW w:w="1121" w:type="dxa"/>
            <w:vMerge w:val="restart"/>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900～1</w:t>
            </w:r>
            <w:r>
              <w:rPr>
                <w:rFonts w:hint="eastAsia" w:ascii="宋体" w:hAnsi="宋体" w:eastAsia="宋体" w:cs="宋体"/>
                <w:color w:val="000000"/>
                <w:kern w:val="0"/>
                <w:sz w:val="18"/>
                <w:szCs w:val="18"/>
                <w:lang w:val="en-US" w:eastAsia="zh-CN" w:bidi="ar"/>
              </w:rPr>
              <w:t xml:space="preserve"> </w:t>
            </w:r>
            <w:r>
              <w:rPr>
                <w:rFonts w:hint="eastAsia" w:ascii="宋体" w:hAnsi="宋体" w:eastAsia="宋体" w:cs="宋体"/>
                <w:color w:val="000000"/>
                <w:kern w:val="0"/>
                <w:sz w:val="18"/>
                <w:szCs w:val="18"/>
                <w:lang w:bidi="ar"/>
              </w:rPr>
              <w:t>850</w:t>
            </w:r>
          </w:p>
        </w:tc>
        <w:tc>
          <w:tcPr>
            <w:tcW w:w="955" w:type="dxa"/>
            <w:vMerge w:val="restart"/>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20～75</w:t>
            </w:r>
          </w:p>
        </w:tc>
        <w:tc>
          <w:tcPr>
            <w:tcW w:w="122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180～450</w:t>
            </w:r>
          </w:p>
        </w:tc>
        <w:tc>
          <w:tcPr>
            <w:tcW w:w="1110"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2,4</w:t>
            </w:r>
          </w:p>
        </w:tc>
        <w:tc>
          <w:tcPr>
            <w:tcW w:w="1408" w:type="dxa"/>
            <w:vMerge w:val="restart"/>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1 000</w:t>
            </w:r>
          </w:p>
        </w:tc>
        <w:tc>
          <w:tcPr>
            <w:tcW w:w="1307" w:type="dxa"/>
            <w:vMerge w:val="restart"/>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2 300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64" w:type="dxa"/>
            <w:vMerge w:val="continue"/>
            <w:shd w:val="clear" w:color="auto" w:fill="auto"/>
            <w:noWrap/>
            <w:vAlign w:val="center"/>
          </w:tcPr>
          <w:p>
            <w:pPr>
              <w:jc w:val="center"/>
              <w:rPr>
                <w:rFonts w:ascii="宋体" w:hAnsi="宋体" w:cs="宋体"/>
                <w:color w:val="000000"/>
                <w:kern w:val="0"/>
                <w:sz w:val="18"/>
                <w:szCs w:val="18"/>
                <w:lang w:bidi="ar"/>
              </w:rPr>
            </w:pPr>
          </w:p>
        </w:tc>
        <w:tc>
          <w:tcPr>
            <w:tcW w:w="995" w:type="dxa"/>
            <w:vMerge w:val="continue"/>
            <w:shd w:val="clear" w:color="auto" w:fill="auto"/>
            <w:vAlign w:val="center"/>
          </w:tcPr>
          <w:p>
            <w:pPr>
              <w:widowControl/>
              <w:jc w:val="left"/>
              <w:textAlignment w:val="center"/>
              <w:rPr>
                <w:rFonts w:ascii="宋体" w:hAnsi="宋体" w:cs="宋体"/>
                <w:color w:val="000000"/>
                <w:sz w:val="18"/>
                <w:szCs w:val="18"/>
              </w:rPr>
            </w:pPr>
          </w:p>
        </w:tc>
        <w:tc>
          <w:tcPr>
            <w:tcW w:w="1121" w:type="dxa"/>
            <w:vMerge w:val="continue"/>
            <w:shd w:val="clear" w:color="auto" w:fill="auto"/>
            <w:noWrap/>
            <w:vAlign w:val="center"/>
          </w:tcPr>
          <w:p>
            <w:pPr>
              <w:widowControl/>
              <w:jc w:val="center"/>
              <w:textAlignment w:val="center"/>
              <w:rPr>
                <w:rFonts w:ascii="宋体" w:hAnsi="宋体" w:cs="宋体"/>
                <w:color w:val="000000"/>
                <w:kern w:val="0"/>
                <w:sz w:val="18"/>
                <w:szCs w:val="18"/>
                <w:lang w:bidi="ar"/>
              </w:rPr>
            </w:pPr>
          </w:p>
        </w:tc>
        <w:tc>
          <w:tcPr>
            <w:tcW w:w="955" w:type="dxa"/>
            <w:vMerge w:val="continue"/>
            <w:shd w:val="clear" w:color="auto" w:fill="auto"/>
            <w:noWrap/>
            <w:vAlign w:val="center"/>
          </w:tcPr>
          <w:p>
            <w:pPr>
              <w:widowControl/>
              <w:jc w:val="center"/>
              <w:textAlignment w:val="center"/>
              <w:rPr>
                <w:rFonts w:ascii="宋体" w:hAnsi="宋体" w:cs="宋体"/>
                <w:color w:val="000000"/>
                <w:kern w:val="0"/>
                <w:sz w:val="18"/>
                <w:szCs w:val="18"/>
                <w:lang w:bidi="ar"/>
              </w:rPr>
            </w:pPr>
          </w:p>
        </w:tc>
        <w:tc>
          <w:tcPr>
            <w:tcW w:w="1220" w:type="dxa"/>
            <w:shd w:val="clear" w:color="auto" w:fill="auto"/>
            <w:noWrap/>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230～550</w:t>
            </w:r>
          </w:p>
        </w:tc>
        <w:tc>
          <w:tcPr>
            <w:tcW w:w="1110" w:type="dxa"/>
            <w:shd w:val="clear" w:color="auto" w:fill="auto"/>
            <w:noWrap/>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2,4</w:t>
            </w:r>
          </w:p>
        </w:tc>
        <w:tc>
          <w:tcPr>
            <w:tcW w:w="1408" w:type="dxa"/>
            <w:vMerge w:val="continue"/>
            <w:shd w:val="clear" w:color="auto" w:fill="auto"/>
            <w:noWrap/>
            <w:vAlign w:val="center"/>
          </w:tcPr>
          <w:p>
            <w:pPr>
              <w:widowControl/>
              <w:jc w:val="center"/>
              <w:textAlignment w:val="center"/>
              <w:rPr>
                <w:rFonts w:ascii="宋体" w:hAnsi="宋体" w:cs="宋体"/>
                <w:color w:val="000000"/>
                <w:kern w:val="0"/>
                <w:sz w:val="18"/>
                <w:szCs w:val="18"/>
                <w:lang w:bidi="ar"/>
              </w:rPr>
            </w:pPr>
          </w:p>
        </w:tc>
        <w:tc>
          <w:tcPr>
            <w:tcW w:w="1307" w:type="dxa"/>
            <w:vMerge w:val="continue"/>
            <w:shd w:val="clear" w:color="auto" w:fill="auto"/>
            <w:noWrap/>
            <w:vAlign w:val="center"/>
          </w:tcPr>
          <w:p>
            <w:pPr>
              <w:widowControl/>
              <w:jc w:val="center"/>
              <w:textAlignment w:val="center"/>
              <w:rPr>
                <w:rFonts w:ascii="宋体" w:hAnsi="宋体" w:cs="宋体"/>
                <w:color w:val="000000"/>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264" w:type="dxa"/>
            <w:vMerge w:val="continue"/>
            <w:shd w:val="clear" w:color="auto" w:fill="auto"/>
            <w:noWrap/>
            <w:vAlign w:val="center"/>
          </w:tcPr>
          <w:p>
            <w:pPr>
              <w:jc w:val="center"/>
              <w:rPr>
                <w:rFonts w:ascii="宋体" w:hAnsi="宋体" w:cs="宋体"/>
                <w:color w:val="000000"/>
                <w:kern w:val="0"/>
                <w:sz w:val="18"/>
                <w:szCs w:val="18"/>
                <w:lang w:bidi="ar"/>
              </w:rPr>
            </w:pPr>
          </w:p>
        </w:tc>
        <w:tc>
          <w:tcPr>
            <w:tcW w:w="995" w:type="dxa"/>
            <w:vMerge w:val="continue"/>
            <w:shd w:val="clear" w:color="auto" w:fill="auto"/>
            <w:vAlign w:val="center"/>
          </w:tcPr>
          <w:p>
            <w:pPr>
              <w:widowControl/>
              <w:jc w:val="left"/>
              <w:textAlignment w:val="center"/>
              <w:rPr>
                <w:rFonts w:ascii="宋体" w:hAnsi="宋体" w:cs="宋体"/>
                <w:color w:val="000000"/>
                <w:sz w:val="18"/>
                <w:szCs w:val="18"/>
              </w:rPr>
            </w:pPr>
          </w:p>
        </w:tc>
        <w:tc>
          <w:tcPr>
            <w:tcW w:w="1121" w:type="dxa"/>
            <w:vMerge w:val="continue"/>
            <w:shd w:val="clear" w:color="auto" w:fill="auto"/>
            <w:noWrap/>
            <w:vAlign w:val="center"/>
          </w:tcPr>
          <w:p>
            <w:pPr>
              <w:widowControl/>
              <w:jc w:val="center"/>
              <w:textAlignment w:val="center"/>
              <w:rPr>
                <w:rFonts w:ascii="宋体" w:hAnsi="宋体" w:cs="宋体"/>
                <w:color w:val="000000"/>
                <w:kern w:val="0"/>
                <w:sz w:val="18"/>
                <w:szCs w:val="18"/>
                <w:lang w:bidi="ar"/>
              </w:rPr>
            </w:pPr>
          </w:p>
        </w:tc>
        <w:tc>
          <w:tcPr>
            <w:tcW w:w="955" w:type="dxa"/>
            <w:vMerge w:val="continue"/>
            <w:shd w:val="clear" w:color="auto" w:fill="auto"/>
            <w:noWrap/>
            <w:vAlign w:val="center"/>
          </w:tcPr>
          <w:p>
            <w:pPr>
              <w:widowControl/>
              <w:jc w:val="center"/>
              <w:textAlignment w:val="center"/>
              <w:rPr>
                <w:rFonts w:ascii="宋体" w:hAnsi="宋体" w:cs="宋体"/>
                <w:color w:val="000000"/>
                <w:kern w:val="0"/>
                <w:sz w:val="18"/>
                <w:szCs w:val="18"/>
                <w:lang w:bidi="ar"/>
              </w:rPr>
            </w:pPr>
          </w:p>
        </w:tc>
        <w:tc>
          <w:tcPr>
            <w:tcW w:w="1220" w:type="dxa"/>
            <w:shd w:val="clear" w:color="auto" w:fill="auto"/>
            <w:noWrap/>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270～640</w:t>
            </w:r>
          </w:p>
        </w:tc>
        <w:tc>
          <w:tcPr>
            <w:tcW w:w="1110" w:type="dxa"/>
            <w:shd w:val="clear" w:color="auto" w:fill="auto"/>
            <w:noWrap/>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2,4,6</w:t>
            </w:r>
          </w:p>
        </w:tc>
        <w:tc>
          <w:tcPr>
            <w:tcW w:w="1408" w:type="dxa"/>
            <w:vMerge w:val="continue"/>
            <w:shd w:val="clear" w:color="auto" w:fill="auto"/>
            <w:noWrap/>
            <w:vAlign w:val="center"/>
          </w:tcPr>
          <w:p>
            <w:pPr>
              <w:widowControl/>
              <w:jc w:val="center"/>
              <w:textAlignment w:val="center"/>
              <w:rPr>
                <w:rFonts w:ascii="宋体" w:hAnsi="宋体" w:cs="宋体"/>
                <w:color w:val="000000"/>
                <w:kern w:val="0"/>
                <w:sz w:val="18"/>
                <w:szCs w:val="18"/>
                <w:lang w:bidi="ar"/>
              </w:rPr>
            </w:pPr>
          </w:p>
        </w:tc>
        <w:tc>
          <w:tcPr>
            <w:tcW w:w="1307" w:type="dxa"/>
            <w:vMerge w:val="continue"/>
            <w:shd w:val="clear" w:color="auto" w:fill="auto"/>
            <w:noWrap/>
            <w:vAlign w:val="center"/>
          </w:tcPr>
          <w:p>
            <w:pPr>
              <w:widowControl/>
              <w:jc w:val="center"/>
              <w:textAlignment w:val="center"/>
              <w:rPr>
                <w:rFonts w:ascii="宋体" w:hAnsi="宋体" w:cs="宋体"/>
                <w:color w:val="000000"/>
                <w:kern w:val="0"/>
                <w:sz w:val="18"/>
                <w:szCs w:val="18"/>
                <w:lang w:bidi="ar"/>
              </w:rPr>
            </w:pPr>
          </w:p>
        </w:tc>
      </w:tr>
    </w:tbl>
    <w:p>
      <w:pPr>
        <w:pStyle w:val="70"/>
        <w:spacing w:after="156" w:afterLines="50"/>
        <w:ind w:firstLine="360"/>
        <w:jc w:val="center"/>
        <w:rPr>
          <w:rFonts w:ascii="黑体" w:hAnsi="黑体" w:eastAsia="黑体" w:cs="黑体"/>
          <w:sz w:val="18"/>
          <w:szCs w:val="18"/>
        </w:rPr>
      </w:pPr>
    </w:p>
    <w:p>
      <w:pPr>
        <w:pStyle w:val="70"/>
        <w:spacing w:after="156" w:afterLines="50"/>
        <w:ind w:firstLine="360"/>
        <w:jc w:val="center"/>
        <w:rPr>
          <w:rFonts w:ascii="黑体" w:hAnsi="黑体" w:eastAsia="黑体" w:cs="黑体"/>
          <w:sz w:val="18"/>
          <w:szCs w:val="18"/>
        </w:rPr>
      </w:pPr>
      <w:r>
        <w:rPr>
          <w:rFonts w:hint="eastAsia" w:ascii="黑体" w:hAnsi="黑体" w:eastAsia="黑体" w:cs="黑体"/>
          <w:sz w:val="18"/>
          <w:szCs w:val="18"/>
        </w:rPr>
        <w:t>表1（续）</w:t>
      </w:r>
    </w:p>
    <w:tbl>
      <w:tblPr>
        <w:tblStyle w:val="41"/>
        <w:tblpPr w:leftFromText="181" w:rightFromText="181" w:vertAnchor="text" w:horzAnchor="page" w:tblpXSpec="center" w:tblpY="1"/>
        <w:tblOverlap w:val="never"/>
        <w:tblW w:w="96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3"/>
        <w:gridCol w:w="1077"/>
        <w:gridCol w:w="1132"/>
        <w:gridCol w:w="1037"/>
        <w:gridCol w:w="1309"/>
        <w:gridCol w:w="1217"/>
        <w:gridCol w:w="1392"/>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363"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基本型号</w:t>
            </w:r>
          </w:p>
        </w:tc>
        <w:tc>
          <w:tcPr>
            <w:tcW w:w="1077" w:type="dxa"/>
            <w:shd w:val="clear" w:color="auto" w:fill="auto"/>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带钢厚度</w:t>
            </w:r>
          </w:p>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mm</w:t>
            </w:r>
          </w:p>
        </w:tc>
        <w:tc>
          <w:tcPr>
            <w:tcW w:w="1132"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带钢宽度</w:t>
            </w:r>
          </w:p>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mm</w:t>
            </w:r>
          </w:p>
        </w:tc>
        <w:tc>
          <w:tcPr>
            <w:tcW w:w="1037"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张力</w:t>
            </w:r>
          </w:p>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kN</w:t>
            </w:r>
          </w:p>
        </w:tc>
        <w:tc>
          <w:tcPr>
            <w:tcW w:w="1309" w:type="dxa"/>
            <w:shd w:val="clear" w:color="auto" w:fill="auto"/>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套量</w:t>
            </w:r>
            <w:r>
              <w:rPr>
                <w:rFonts w:hint="eastAsia" w:ascii="宋体" w:hAnsi="宋体" w:eastAsia="宋体" w:cs="宋体"/>
                <w:color w:val="000000"/>
                <w:kern w:val="0"/>
                <w:sz w:val="18"/>
                <w:szCs w:val="18"/>
                <w:vertAlign w:val="superscript"/>
                <w:lang w:bidi="ar"/>
              </w:rPr>
              <w:t>a</w:t>
            </w:r>
          </w:p>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m</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活套层数</w:t>
            </w:r>
            <w:r>
              <w:rPr>
                <w:rFonts w:hint="eastAsia" w:ascii="宋体" w:hAnsi="宋体" w:eastAsia="宋体" w:cs="宋体"/>
                <w:color w:val="000000"/>
                <w:kern w:val="0"/>
                <w:sz w:val="18"/>
                <w:szCs w:val="18"/>
                <w:vertAlign w:val="superscript"/>
                <w:lang w:val="en-US" w:eastAsia="zh-CN" w:bidi="ar"/>
              </w:rPr>
              <w:t>b</w:t>
            </w:r>
          </w:p>
        </w:tc>
        <w:tc>
          <w:tcPr>
            <w:tcW w:w="1392"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转向辊直径</w:t>
            </w:r>
          </w:p>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mm</w:t>
            </w:r>
          </w:p>
        </w:tc>
        <w:tc>
          <w:tcPr>
            <w:tcW w:w="1166" w:type="dxa"/>
            <w:shd w:val="clear" w:color="auto" w:fill="auto"/>
            <w:noWrap/>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转向辊长度</w:t>
            </w:r>
          </w:p>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WH1100/1200</w:t>
            </w:r>
          </w:p>
        </w:tc>
        <w:tc>
          <w:tcPr>
            <w:tcW w:w="1077" w:type="dxa"/>
            <w:vMerge w:val="restart"/>
            <w:shd w:val="clear" w:color="auto" w:fill="auto"/>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1.2～4.5</w:t>
            </w:r>
          </w:p>
        </w:tc>
        <w:tc>
          <w:tcPr>
            <w:tcW w:w="113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500～750</w:t>
            </w:r>
          </w:p>
        </w:tc>
        <w:tc>
          <w:tcPr>
            <w:tcW w:w="1037"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11～40</w:t>
            </w: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230～450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1 100</w:t>
            </w:r>
          </w:p>
        </w:tc>
        <w:tc>
          <w:tcPr>
            <w:tcW w:w="1166"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230～500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230～550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2,4,6</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WH1100/1500</w:t>
            </w: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650～1</w:t>
            </w:r>
            <w:r>
              <w:rPr>
                <w:rFonts w:hint="eastAsia" w:ascii="宋体" w:hAnsi="宋体" w:eastAsia="宋体" w:cs="宋体"/>
                <w:color w:val="000000"/>
                <w:kern w:val="0"/>
                <w:sz w:val="18"/>
                <w:szCs w:val="18"/>
                <w:lang w:val="en-US" w:eastAsia="zh-CN" w:bidi="ar"/>
              </w:rPr>
              <w:t xml:space="preserve"> </w:t>
            </w:r>
            <w:r>
              <w:rPr>
                <w:rFonts w:hint="eastAsia" w:ascii="宋体" w:hAnsi="宋体" w:eastAsia="宋体" w:cs="宋体"/>
                <w:color w:val="000000"/>
                <w:kern w:val="0"/>
                <w:sz w:val="18"/>
                <w:szCs w:val="18"/>
                <w:lang w:bidi="ar"/>
              </w:rPr>
              <w:t>080</w:t>
            </w:r>
          </w:p>
        </w:tc>
        <w:tc>
          <w:tcPr>
            <w:tcW w:w="1037"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14～60</w:t>
            </w: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230～450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1 100</w:t>
            </w:r>
          </w:p>
        </w:tc>
        <w:tc>
          <w:tcPr>
            <w:tcW w:w="1166"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230～500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230～550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2,4,6</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WH1100/1700</w:t>
            </w: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750～1</w:t>
            </w:r>
            <w:r>
              <w:rPr>
                <w:rFonts w:hint="eastAsia" w:ascii="宋体" w:hAnsi="宋体" w:eastAsia="宋体" w:cs="宋体"/>
                <w:color w:val="000000"/>
                <w:kern w:val="0"/>
                <w:sz w:val="18"/>
                <w:szCs w:val="18"/>
                <w:lang w:val="en-US" w:eastAsia="zh-CN" w:bidi="ar"/>
              </w:rPr>
              <w:t xml:space="preserve"> </w:t>
            </w:r>
            <w:r>
              <w:rPr>
                <w:rFonts w:hint="eastAsia" w:ascii="宋体" w:hAnsi="宋体" w:eastAsia="宋体" w:cs="宋体"/>
                <w:color w:val="000000"/>
                <w:kern w:val="0"/>
                <w:sz w:val="18"/>
                <w:szCs w:val="18"/>
                <w:lang w:bidi="ar"/>
              </w:rPr>
              <w:t>250</w:t>
            </w:r>
          </w:p>
        </w:tc>
        <w:tc>
          <w:tcPr>
            <w:tcW w:w="1037"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17～70</w:t>
            </w: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230～450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1 100</w:t>
            </w:r>
          </w:p>
        </w:tc>
        <w:tc>
          <w:tcPr>
            <w:tcW w:w="1166"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230～500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230～550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2,4,6</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WH1100/2000</w:t>
            </w: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850～1</w:t>
            </w:r>
            <w:r>
              <w:rPr>
                <w:rFonts w:hint="eastAsia" w:ascii="宋体" w:hAnsi="宋体" w:eastAsia="宋体" w:cs="宋体"/>
                <w:color w:val="000000"/>
                <w:kern w:val="0"/>
                <w:sz w:val="18"/>
                <w:szCs w:val="18"/>
                <w:lang w:val="en-US" w:eastAsia="zh-CN" w:bidi="ar"/>
              </w:rPr>
              <w:t xml:space="preserve"> </w:t>
            </w:r>
            <w:r>
              <w:rPr>
                <w:rFonts w:hint="eastAsia" w:ascii="宋体" w:hAnsi="宋体" w:eastAsia="宋体" w:cs="宋体"/>
                <w:color w:val="000000"/>
                <w:kern w:val="0"/>
                <w:sz w:val="18"/>
                <w:szCs w:val="18"/>
                <w:lang w:bidi="ar"/>
              </w:rPr>
              <w:t>550</w:t>
            </w:r>
          </w:p>
        </w:tc>
        <w:tc>
          <w:tcPr>
            <w:tcW w:w="1037"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19～85</w:t>
            </w: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230～450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1 100</w:t>
            </w:r>
          </w:p>
        </w:tc>
        <w:tc>
          <w:tcPr>
            <w:tcW w:w="1166"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230～500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230～550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2,4,6</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restart"/>
            <w:shd w:val="clear" w:color="auto" w:fill="auto"/>
            <w:noWrap/>
            <w:vAlign w:val="center"/>
          </w:tcPr>
          <w:p>
            <w:pPr>
              <w:jc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WH1100/2300</w:t>
            </w: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900～1</w:t>
            </w:r>
            <w:r>
              <w:rPr>
                <w:rFonts w:hint="eastAsia" w:ascii="宋体" w:hAnsi="宋体" w:eastAsia="宋体" w:cs="宋体"/>
                <w:color w:val="000000"/>
                <w:kern w:val="0"/>
                <w:sz w:val="18"/>
                <w:szCs w:val="18"/>
                <w:lang w:val="en-US" w:eastAsia="zh-CN" w:bidi="ar"/>
              </w:rPr>
              <w:t xml:space="preserve"> </w:t>
            </w:r>
            <w:r>
              <w:rPr>
                <w:rFonts w:hint="eastAsia" w:ascii="宋体" w:hAnsi="宋体" w:eastAsia="宋体" w:cs="宋体"/>
                <w:color w:val="000000"/>
                <w:kern w:val="0"/>
                <w:sz w:val="18"/>
                <w:szCs w:val="18"/>
                <w:lang w:bidi="ar"/>
              </w:rPr>
              <w:t>850</w:t>
            </w:r>
          </w:p>
        </w:tc>
        <w:tc>
          <w:tcPr>
            <w:tcW w:w="1037"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20～100</w:t>
            </w: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230～450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1 100</w:t>
            </w:r>
          </w:p>
        </w:tc>
        <w:tc>
          <w:tcPr>
            <w:tcW w:w="1166"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2 300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230～500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230～550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2,4,6</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restart"/>
            <w:shd w:val="clear" w:color="auto" w:fill="auto"/>
            <w:noWrap/>
            <w:vAlign w:val="center"/>
          </w:tcPr>
          <w:p>
            <w:pPr>
              <w:jc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WH1200/1200</w:t>
            </w:r>
          </w:p>
        </w:tc>
        <w:tc>
          <w:tcPr>
            <w:tcW w:w="1077" w:type="dxa"/>
            <w:vMerge w:val="restart"/>
            <w:shd w:val="clear" w:color="auto" w:fill="auto"/>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1.2～6.5</w:t>
            </w:r>
          </w:p>
        </w:tc>
        <w:tc>
          <w:tcPr>
            <w:tcW w:w="113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500～750</w:t>
            </w:r>
          </w:p>
        </w:tc>
        <w:tc>
          <w:tcPr>
            <w:tcW w:w="1037"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11～40</w:t>
            </w: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180～450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1 200</w:t>
            </w:r>
          </w:p>
        </w:tc>
        <w:tc>
          <w:tcPr>
            <w:tcW w:w="1166"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230～550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270～640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2,4,6</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restart"/>
            <w:shd w:val="clear" w:color="auto" w:fill="auto"/>
            <w:noWrap/>
            <w:vAlign w:val="center"/>
          </w:tcPr>
          <w:p>
            <w:pPr>
              <w:jc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WH1200/1500</w:t>
            </w: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650～1</w:t>
            </w:r>
            <w:r>
              <w:rPr>
                <w:rFonts w:hint="eastAsia" w:ascii="宋体" w:hAnsi="宋体" w:eastAsia="宋体" w:cs="宋体"/>
                <w:color w:val="000000"/>
                <w:kern w:val="0"/>
                <w:sz w:val="18"/>
                <w:szCs w:val="18"/>
                <w:lang w:val="en-US" w:eastAsia="zh-CN" w:bidi="ar"/>
              </w:rPr>
              <w:t xml:space="preserve"> </w:t>
            </w:r>
            <w:r>
              <w:rPr>
                <w:rFonts w:hint="eastAsia" w:ascii="宋体" w:hAnsi="宋体" w:eastAsia="宋体" w:cs="宋体"/>
                <w:color w:val="000000"/>
                <w:kern w:val="0"/>
                <w:sz w:val="18"/>
                <w:szCs w:val="18"/>
                <w:lang w:bidi="ar"/>
              </w:rPr>
              <w:t>080</w:t>
            </w:r>
          </w:p>
        </w:tc>
        <w:tc>
          <w:tcPr>
            <w:tcW w:w="1037"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14～60</w:t>
            </w: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180～450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1 200</w:t>
            </w:r>
          </w:p>
        </w:tc>
        <w:tc>
          <w:tcPr>
            <w:tcW w:w="1166"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230～550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270～640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2,4,6</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WH1200/1700</w:t>
            </w: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750～1</w:t>
            </w:r>
            <w:r>
              <w:rPr>
                <w:rFonts w:hint="eastAsia" w:ascii="宋体" w:hAnsi="宋体" w:eastAsia="宋体" w:cs="宋体"/>
                <w:color w:val="000000"/>
                <w:kern w:val="0"/>
                <w:sz w:val="18"/>
                <w:szCs w:val="18"/>
                <w:lang w:val="en-US" w:eastAsia="zh-CN" w:bidi="ar"/>
              </w:rPr>
              <w:t xml:space="preserve"> </w:t>
            </w:r>
            <w:r>
              <w:rPr>
                <w:rFonts w:hint="eastAsia" w:ascii="宋体" w:hAnsi="宋体" w:eastAsia="宋体" w:cs="宋体"/>
                <w:color w:val="000000"/>
                <w:kern w:val="0"/>
                <w:sz w:val="18"/>
                <w:szCs w:val="18"/>
                <w:lang w:bidi="ar"/>
              </w:rPr>
              <w:t>250</w:t>
            </w:r>
          </w:p>
        </w:tc>
        <w:tc>
          <w:tcPr>
            <w:tcW w:w="1037"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17～70</w:t>
            </w:r>
          </w:p>
        </w:tc>
        <w:tc>
          <w:tcPr>
            <w:tcW w:w="1309" w:type="dxa"/>
            <w:shd w:val="clear" w:color="auto" w:fill="auto"/>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180～450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1 200</w:t>
            </w:r>
          </w:p>
        </w:tc>
        <w:tc>
          <w:tcPr>
            <w:tcW w:w="1166"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230～550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270～640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2,4,6</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WH1200/2000</w:t>
            </w: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850～1</w:t>
            </w:r>
            <w:r>
              <w:rPr>
                <w:rFonts w:hint="eastAsia" w:ascii="宋体" w:hAnsi="宋体" w:eastAsia="宋体" w:cs="宋体"/>
                <w:color w:val="000000"/>
                <w:kern w:val="0"/>
                <w:sz w:val="18"/>
                <w:szCs w:val="18"/>
                <w:lang w:val="en-US" w:eastAsia="zh-CN" w:bidi="ar"/>
              </w:rPr>
              <w:t xml:space="preserve"> </w:t>
            </w:r>
            <w:r>
              <w:rPr>
                <w:rFonts w:hint="eastAsia" w:ascii="宋体" w:hAnsi="宋体" w:eastAsia="宋体" w:cs="宋体"/>
                <w:color w:val="000000"/>
                <w:kern w:val="0"/>
                <w:sz w:val="18"/>
                <w:szCs w:val="18"/>
                <w:lang w:bidi="ar"/>
              </w:rPr>
              <w:t>550</w:t>
            </w:r>
          </w:p>
        </w:tc>
        <w:tc>
          <w:tcPr>
            <w:tcW w:w="1037"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19～85</w:t>
            </w:r>
          </w:p>
        </w:tc>
        <w:tc>
          <w:tcPr>
            <w:tcW w:w="1309" w:type="dxa"/>
            <w:shd w:val="clear" w:color="auto" w:fill="auto"/>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180～450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1 200</w:t>
            </w:r>
          </w:p>
        </w:tc>
        <w:tc>
          <w:tcPr>
            <w:tcW w:w="1166"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230～550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270～640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2,4,6</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WH1200/2300</w:t>
            </w: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900～1</w:t>
            </w:r>
            <w:r>
              <w:rPr>
                <w:rFonts w:hint="eastAsia" w:ascii="宋体" w:hAnsi="宋体" w:eastAsia="宋体" w:cs="宋体"/>
                <w:color w:val="000000"/>
                <w:kern w:val="0"/>
                <w:sz w:val="18"/>
                <w:szCs w:val="18"/>
                <w:lang w:val="en-US" w:eastAsia="zh-CN" w:bidi="ar"/>
              </w:rPr>
              <w:t xml:space="preserve"> </w:t>
            </w:r>
            <w:r>
              <w:rPr>
                <w:rFonts w:hint="eastAsia" w:ascii="宋体" w:hAnsi="宋体" w:eastAsia="宋体" w:cs="宋体"/>
                <w:color w:val="000000"/>
                <w:kern w:val="0"/>
                <w:sz w:val="18"/>
                <w:szCs w:val="18"/>
                <w:lang w:bidi="ar"/>
              </w:rPr>
              <w:t>850</w:t>
            </w:r>
          </w:p>
        </w:tc>
        <w:tc>
          <w:tcPr>
            <w:tcW w:w="1037"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20～100</w:t>
            </w:r>
          </w:p>
        </w:tc>
        <w:tc>
          <w:tcPr>
            <w:tcW w:w="1309" w:type="dxa"/>
            <w:shd w:val="clear" w:color="auto" w:fill="auto"/>
            <w:vAlign w:val="center"/>
          </w:tcPr>
          <w:p>
            <w:pPr>
              <w:widowControl/>
              <w:jc w:val="center"/>
              <w:textAlignment w:val="center"/>
              <w:rPr>
                <w:rFonts w:ascii="宋体" w:hAnsi="宋体" w:eastAsia="宋体" w:cs="宋体"/>
                <w:strike/>
                <w:color w:val="000000"/>
                <w:sz w:val="18"/>
                <w:szCs w:val="18"/>
              </w:rPr>
            </w:pPr>
            <w:r>
              <w:rPr>
                <w:rFonts w:hint="eastAsia" w:ascii="宋体" w:hAnsi="宋体" w:eastAsia="宋体" w:cs="宋体"/>
                <w:color w:val="000000"/>
                <w:kern w:val="0"/>
                <w:sz w:val="18"/>
                <w:szCs w:val="18"/>
                <w:lang w:bidi="ar"/>
              </w:rPr>
              <w:t>180～450</w:t>
            </w:r>
          </w:p>
        </w:tc>
        <w:tc>
          <w:tcPr>
            <w:tcW w:w="1217" w:type="dxa"/>
            <w:shd w:val="clear" w:color="auto" w:fill="auto"/>
            <w:noWrap/>
            <w:vAlign w:val="center"/>
          </w:tcPr>
          <w:p>
            <w:pPr>
              <w:widowControl/>
              <w:jc w:val="center"/>
              <w:textAlignment w:val="center"/>
              <w:rPr>
                <w:rFonts w:ascii="宋体" w:hAnsi="宋体" w:eastAsia="宋体" w:cs="宋体"/>
                <w:strike/>
                <w:color w:val="000000"/>
                <w:sz w:val="18"/>
                <w:szCs w:val="18"/>
              </w:rPr>
            </w:pPr>
            <w:r>
              <w:rPr>
                <w:rFonts w:hint="eastAsia" w:ascii="宋体" w:hAnsi="宋体" w:eastAsia="宋体" w:cs="宋体"/>
                <w:color w:val="000000"/>
                <w:kern w:val="0"/>
                <w:sz w:val="18"/>
                <w:szCs w:val="18"/>
                <w:lang w:bidi="ar"/>
              </w:rPr>
              <w:t>2,4</w:t>
            </w:r>
          </w:p>
        </w:tc>
        <w:tc>
          <w:tcPr>
            <w:tcW w:w="139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1 200</w:t>
            </w:r>
          </w:p>
        </w:tc>
        <w:tc>
          <w:tcPr>
            <w:tcW w:w="1166"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2 300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230～550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eastAsia="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eastAsia="宋体" w:cs="宋体"/>
                <w:color w:val="000000"/>
                <w:sz w:val="18"/>
                <w:szCs w:val="18"/>
              </w:rPr>
            </w:pPr>
          </w:p>
        </w:tc>
        <w:tc>
          <w:tcPr>
            <w:tcW w:w="1037" w:type="dxa"/>
            <w:vMerge w:val="continue"/>
            <w:shd w:val="clear" w:color="auto" w:fill="auto"/>
            <w:noWrap/>
            <w:vAlign w:val="center"/>
          </w:tcPr>
          <w:p>
            <w:pPr>
              <w:jc w:val="center"/>
              <w:rPr>
                <w:rFonts w:ascii="宋体" w:hAnsi="宋体" w:eastAsia="宋体" w:cs="宋体"/>
                <w:color w:val="000000"/>
                <w:sz w:val="18"/>
                <w:szCs w:val="18"/>
              </w:rPr>
            </w:pPr>
          </w:p>
        </w:tc>
        <w:tc>
          <w:tcPr>
            <w:tcW w:w="1309" w:type="dxa"/>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270～640</w:t>
            </w:r>
          </w:p>
        </w:tc>
        <w:tc>
          <w:tcPr>
            <w:tcW w:w="1217" w:type="dxa"/>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2,4,6</w:t>
            </w:r>
          </w:p>
        </w:tc>
        <w:tc>
          <w:tcPr>
            <w:tcW w:w="1392" w:type="dxa"/>
            <w:vMerge w:val="continue"/>
            <w:shd w:val="clear" w:color="auto" w:fill="auto"/>
            <w:noWrap/>
            <w:vAlign w:val="center"/>
          </w:tcPr>
          <w:p>
            <w:pPr>
              <w:jc w:val="center"/>
              <w:rPr>
                <w:rFonts w:ascii="宋体" w:hAnsi="宋体" w:eastAsia="宋体" w:cs="宋体"/>
                <w:color w:val="000000"/>
                <w:sz w:val="18"/>
                <w:szCs w:val="18"/>
              </w:rPr>
            </w:pPr>
          </w:p>
        </w:tc>
        <w:tc>
          <w:tcPr>
            <w:tcW w:w="1166" w:type="dxa"/>
            <w:vMerge w:val="continue"/>
            <w:shd w:val="clear" w:color="auto" w:fill="auto"/>
            <w:noWrap/>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WH1200/2500</w:t>
            </w:r>
          </w:p>
        </w:tc>
        <w:tc>
          <w:tcPr>
            <w:tcW w:w="1077" w:type="dxa"/>
            <w:vMerge w:val="continue"/>
            <w:shd w:val="clear" w:color="auto" w:fill="auto"/>
            <w:vAlign w:val="center"/>
          </w:tcPr>
          <w:p>
            <w:pPr>
              <w:widowControl/>
              <w:jc w:val="left"/>
              <w:textAlignment w:val="center"/>
              <w:rPr>
                <w:rFonts w:ascii="宋体" w:hAnsi="宋体" w:eastAsia="宋体" w:cs="宋体"/>
                <w:color w:val="000000"/>
                <w:kern w:val="0"/>
                <w:sz w:val="18"/>
                <w:szCs w:val="18"/>
                <w:lang w:bidi="ar"/>
              </w:rPr>
            </w:pPr>
          </w:p>
        </w:tc>
        <w:tc>
          <w:tcPr>
            <w:tcW w:w="113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900～2</w:t>
            </w:r>
            <w:r>
              <w:rPr>
                <w:rFonts w:hint="eastAsia" w:ascii="宋体" w:hAnsi="宋体" w:eastAsia="宋体" w:cs="宋体"/>
                <w:color w:val="000000"/>
                <w:kern w:val="0"/>
                <w:sz w:val="18"/>
                <w:szCs w:val="18"/>
                <w:lang w:val="en-US" w:eastAsia="zh-CN" w:bidi="ar"/>
              </w:rPr>
              <w:t xml:space="preserve"> </w:t>
            </w:r>
            <w:r>
              <w:rPr>
                <w:rFonts w:hint="eastAsia" w:ascii="宋体" w:hAnsi="宋体" w:eastAsia="宋体" w:cs="宋体"/>
                <w:color w:val="000000"/>
                <w:kern w:val="0"/>
                <w:sz w:val="18"/>
                <w:szCs w:val="18"/>
                <w:lang w:bidi="ar"/>
              </w:rPr>
              <w:t>200</w:t>
            </w:r>
          </w:p>
        </w:tc>
        <w:tc>
          <w:tcPr>
            <w:tcW w:w="1037"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20～115</w:t>
            </w:r>
          </w:p>
        </w:tc>
        <w:tc>
          <w:tcPr>
            <w:tcW w:w="1309" w:type="dxa"/>
            <w:shd w:val="clear" w:color="auto" w:fill="auto"/>
            <w:vAlign w:val="center"/>
          </w:tcPr>
          <w:p>
            <w:pPr>
              <w:widowControl/>
              <w:jc w:val="center"/>
              <w:textAlignment w:val="center"/>
              <w:rPr>
                <w:rFonts w:ascii="宋体" w:hAnsi="宋体" w:eastAsia="宋体" w:cs="宋体"/>
                <w:strike/>
                <w:color w:val="000000"/>
                <w:sz w:val="18"/>
                <w:szCs w:val="18"/>
              </w:rPr>
            </w:pPr>
            <w:r>
              <w:rPr>
                <w:rFonts w:hint="eastAsia" w:ascii="宋体" w:hAnsi="宋体" w:eastAsia="宋体" w:cs="宋体"/>
                <w:color w:val="000000"/>
                <w:kern w:val="0"/>
                <w:sz w:val="18"/>
                <w:szCs w:val="18"/>
                <w:lang w:bidi="ar"/>
              </w:rPr>
              <w:t>180～450</w:t>
            </w:r>
          </w:p>
        </w:tc>
        <w:tc>
          <w:tcPr>
            <w:tcW w:w="1217" w:type="dxa"/>
            <w:shd w:val="clear" w:color="auto" w:fill="auto"/>
            <w:noWrap/>
            <w:vAlign w:val="center"/>
          </w:tcPr>
          <w:p>
            <w:pPr>
              <w:widowControl/>
              <w:jc w:val="center"/>
              <w:textAlignment w:val="center"/>
              <w:rPr>
                <w:rFonts w:ascii="宋体" w:hAnsi="宋体" w:eastAsia="宋体" w:cs="宋体"/>
                <w:strike/>
                <w:color w:val="000000"/>
                <w:sz w:val="18"/>
                <w:szCs w:val="18"/>
              </w:rPr>
            </w:pPr>
            <w:r>
              <w:rPr>
                <w:rFonts w:hint="eastAsia" w:ascii="宋体" w:hAnsi="宋体" w:eastAsia="宋体" w:cs="宋体"/>
                <w:color w:val="000000"/>
                <w:kern w:val="0"/>
                <w:sz w:val="18"/>
                <w:szCs w:val="18"/>
                <w:lang w:bidi="ar"/>
              </w:rPr>
              <w:t>2,4</w:t>
            </w:r>
          </w:p>
        </w:tc>
        <w:tc>
          <w:tcPr>
            <w:tcW w:w="1392"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1 200</w:t>
            </w:r>
          </w:p>
        </w:tc>
        <w:tc>
          <w:tcPr>
            <w:tcW w:w="1166" w:type="dxa"/>
            <w:vMerge w:val="restart"/>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2 500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cs="宋体"/>
                <w:color w:val="000000"/>
                <w:sz w:val="18"/>
                <w:szCs w:val="18"/>
              </w:rPr>
            </w:pPr>
          </w:p>
        </w:tc>
        <w:tc>
          <w:tcPr>
            <w:tcW w:w="1037" w:type="dxa"/>
            <w:vMerge w:val="continue"/>
            <w:shd w:val="clear" w:color="auto" w:fill="auto"/>
            <w:noWrap/>
            <w:vAlign w:val="center"/>
          </w:tcPr>
          <w:p>
            <w:pPr>
              <w:jc w:val="center"/>
              <w:rPr>
                <w:rFonts w:ascii="宋体" w:hAnsi="宋体" w:cs="宋体"/>
                <w:color w:val="000000"/>
                <w:sz w:val="18"/>
                <w:szCs w:val="18"/>
              </w:rPr>
            </w:pPr>
          </w:p>
        </w:tc>
        <w:tc>
          <w:tcPr>
            <w:tcW w:w="1309" w:type="dxa"/>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eastAsia="宋体" w:cs="宋体"/>
                <w:color w:val="000000"/>
                <w:kern w:val="0"/>
                <w:sz w:val="18"/>
                <w:szCs w:val="18"/>
                <w:lang w:bidi="ar"/>
              </w:rPr>
              <w:t>230～550</w:t>
            </w:r>
          </w:p>
        </w:tc>
        <w:tc>
          <w:tcPr>
            <w:tcW w:w="1217" w:type="dxa"/>
            <w:shd w:val="clear" w:color="auto" w:fill="auto"/>
            <w:noWrap/>
            <w:vAlign w:val="center"/>
          </w:tcPr>
          <w:p>
            <w:pPr>
              <w:widowControl/>
              <w:jc w:val="center"/>
              <w:textAlignment w:val="center"/>
              <w:rPr>
                <w:rFonts w:ascii="宋体" w:hAnsi="宋体" w:cs="宋体"/>
                <w:color w:val="000000"/>
                <w:sz w:val="18"/>
                <w:szCs w:val="18"/>
              </w:rPr>
            </w:pPr>
            <w:r>
              <w:rPr>
                <w:rFonts w:hint="eastAsia" w:ascii="宋体" w:hAnsi="宋体" w:eastAsia="宋体" w:cs="宋体"/>
                <w:color w:val="000000"/>
                <w:kern w:val="0"/>
                <w:sz w:val="18"/>
                <w:szCs w:val="18"/>
                <w:lang w:bidi="ar"/>
              </w:rPr>
              <w:t>2,4</w:t>
            </w:r>
          </w:p>
        </w:tc>
        <w:tc>
          <w:tcPr>
            <w:tcW w:w="1392" w:type="dxa"/>
            <w:vMerge w:val="continue"/>
            <w:shd w:val="clear" w:color="auto" w:fill="auto"/>
            <w:noWrap/>
            <w:vAlign w:val="center"/>
          </w:tcPr>
          <w:p>
            <w:pPr>
              <w:jc w:val="center"/>
              <w:rPr>
                <w:rFonts w:ascii="宋体" w:hAnsi="宋体" w:cs="宋体"/>
                <w:color w:val="000000"/>
                <w:sz w:val="18"/>
                <w:szCs w:val="18"/>
              </w:rPr>
            </w:pPr>
          </w:p>
        </w:tc>
        <w:tc>
          <w:tcPr>
            <w:tcW w:w="1166" w:type="dxa"/>
            <w:vMerge w:val="continue"/>
            <w:shd w:val="clear" w:color="auto" w:fill="auto"/>
            <w:noWrap/>
            <w:vAlign w:val="center"/>
          </w:tcPr>
          <w:p>
            <w:pPr>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63" w:type="dxa"/>
            <w:vMerge w:val="continue"/>
            <w:shd w:val="clear" w:color="auto" w:fill="auto"/>
            <w:noWrap/>
            <w:vAlign w:val="center"/>
          </w:tcPr>
          <w:p>
            <w:pPr>
              <w:jc w:val="center"/>
              <w:rPr>
                <w:rFonts w:ascii="宋体" w:hAnsi="宋体" w:cs="宋体"/>
                <w:color w:val="000000"/>
                <w:sz w:val="18"/>
                <w:szCs w:val="18"/>
              </w:rPr>
            </w:pPr>
          </w:p>
        </w:tc>
        <w:tc>
          <w:tcPr>
            <w:tcW w:w="1077" w:type="dxa"/>
            <w:vMerge w:val="continue"/>
            <w:shd w:val="clear" w:color="auto" w:fill="auto"/>
            <w:vAlign w:val="center"/>
          </w:tcPr>
          <w:p>
            <w:pPr>
              <w:widowControl/>
              <w:jc w:val="left"/>
              <w:textAlignment w:val="center"/>
              <w:rPr>
                <w:rFonts w:ascii="宋体" w:hAnsi="宋体" w:cs="宋体"/>
                <w:color w:val="000000"/>
                <w:kern w:val="0"/>
                <w:sz w:val="18"/>
                <w:szCs w:val="18"/>
                <w:lang w:bidi="ar"/>
              </w:rPr>
            </w:pPr>
          </w:p>
        </w:tc>
        <w:tc>
          <w:tcPr>
            <w:tcW w:w="1132" w:type="dxa"/>
            <w:vMerge w:val="continue"/>
            <w:shd w:val="clear" w:color="auto" w:fill="auto"/>
            <w:noWrap/>
            <w:vAlign w:val="center"/>
          </w:tcPr>
          <w:p>
            <w:pPr>
              <w:jc w:val="center"/>
              <w:rPr>
                <w:rFonts w:ascii="宋体" w:hAnsi="宋体" w:cs="宋体"/>
                <w:color w:val="000000"/>
                <w:sz w:val="18"/>
                <w:szCs w:val="18"/>
              </w:rPr>
            </w:pPr>
          </w:p>
        </w:tc>
        <w:tc>
          <w:tcPr>
            <w:tcW w:w="1037" w:type="dxa"/>
            <w:vMerge w:val="continue"/>
            <w:shd w:val="clear" w:color="auto" w:fill="auto"/>
            <w:noWrap/>
            <w:vAlign w:val="center"/>
          </w:tcPr>
          <w:p>
            <w:pPr>
              <w:jc w:val="center"/>
              <w:rPr>
                <w:rFonts w:ascii="宋体" w:hAnsi="宋体" w:cs="宋体"/>
                <w:color w:val="000000"/>
                <w:sz w:val="18"/>
                <w:szCs w:val="18"/>
              </w:rPr>
            </w:pPr>
          </w:p>
        </w:tc>
        <w:tc>
          <w:tcPr>
            <w:tcW w:w="1309" w:type="dxa"/>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eastAsia="宋体" w:cs="宋体"/>
                <w:color w:val="000000"/>
                <w:kern w:val="0"/>
                <w:sz w:val="18"/>
                <w:szCs w:val="18"/>
                <w:lang w:bidi="ar"/>
              </w:rPr>
              <w:t>270～640</w:t>
            </w:r>
          </w:p>
        </w:tc>
        <w:tc>
          <w:tcPr>
            <w:tcW w:w="1217" w:type="dxa"/>
            <w:shd w:val="clear" w:color="auto" w:fill="auto"/>
            <w:noWrap/>
            <w:vAlign w:val="center"/>
          </w:tcPr>
          <w:p>
            <w:pPr>
              <w:widowControl/>
              <w:jc w:val="center"/>
              <w:textAlignment w:val="center"/>
              <w:rPr>
                <w:rFonts w:ascii="宋体" w:hAnsi="宋体" w:cs="宋体"/>
                <w:color w:val="000000"/>
                <w:sz w:val="18"/>
                <w:szCs w:val="18"/>
              </w:rPr>
            </w:pPr>
            <w:r>
              <w:rPr>
                <w:rFonts w:hint="eastAsia" w:ascii="宋体" w:hAnsi="宋体" w:eastAsia="宋体" w:cs="宋体"/>
                <w:color w:val="000000"/>
                <w:kern w:val="0"/>
                <w:sz w:val="18"/>
                <w:szCs w:val="18"/>
                <w:lang w:bidi="ar"/>
              </w:rPr>
              <w:t>2,4,6</w:t>
            </w:r>
          </w:p>
        </w:tc>
        <w:tc>
          <w:tcPr>
            <w:tcW w:w="1392" w:type="dxa"/>
            <w:vMerge w:val="continue"/>
            <w:shd w:val="clear" w:color="auto" w:fill="auto"/>
            <w:noWrap/>
            <w:vAlign w:val="center"/>
          </w:tcPr>
          <w:p>
            <w:pPr>
              <w:jc w:val="center"/>
              <w:rPr>
                <w:rFonts w:ascii="宋体" w:hAnsi="宋体" w:cs="宋体"/>
                <w:color w:val="000000"/>
                <w:sz w:val="18"/>
                <w:szCs w:val="18"/>
              </w:rPr>
            </w:pPr>
          </w:p>
        </w:tc>
        <w:tc>
          <w:tcPr>
            <w:tcW w:w="1166" w:type="dxa"/>
            <w:vMerge w:val="continue"/>
            <w:shd w:val="clear" w:color="auto" w:fill="auto"/>
            <w:noWrap/>
            <w:vAlign w:val="center"/>
          </w:tcPr>
          <w:p>
            <w:pPr>
              <w:jc w:val="center"/>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693" w:type="dxa"/>
            <w:gridSpan w:val="8"/>
            <w:shd w:val="clear" w:color="auto" w:fill="auto"/>
            <w:noWrap/>
            <w:vAlign w:val="center"/>
          </w:tcPr>
          <w:p>
            <w:pPr>
              <w:pStyle w:val="70"/>
              <w:ind w:firstLine="360"/>
              <w:rPr>
                <w:rFonts w:hAnsi="宋体" w:cs="宋体"/>
                <w:sz w:val="18"/>
                <w:szCs w:val="18"/>
              </w:rPr>
            </w:pPr>
            <w:r>
              <w:rPr>
                <w:rFonts w:hint="eastAsia" w:hAnsi="宋体" w:cs="宋体"/>
                <w:sz w:val="18"/>
                <w:szCs w:val="18"/>
                <w:vertAlign w:val="superscript"/>
              </w:rPr>
              <w:t xml:space="preserve">a </w:t>
            </w:r>
            <w:r>
              <w:rPr>
                <w:rFonts w:hint="eastAsia" w:hAnsi="宋体" w:cs="宋体"/>
                <w:sz w:val="18"/>
                <w:szCs w:val="18"/>
              </w:rPr>
              <w:t>带有酸洗工艺段的冷连轧生产线用卧式活套的具体套量应依据酸洗工艺段的速度及相应的入口和出口中断时间来计算确定。不带有酸洗工艺段的冷连轧生产线用卧式活套的具体套量应依据入口停机时间和出口分卷速度来计算确定。</w:t>
            </w:r>
          </w:p>
          <w:p>
            <w:pPr>
              <w:pStyle w:val="70"/>
              <w:ind w:firstLine="360"/>
              <w:rPr>
                <w:rFonts w:hAnsi="宋体" w:cs="宋体"/>
                <w:color w:val="000000"/>
                <w:sz w:val="18"/>
                <w:szCs w:val="18"/>
              </w:rPr>
            </w:pPr>
            <w:r>
              <w:rPr>
                <w:rFonts w:hint="eastAsia" w:hAnsi="宋体" w:cs="宋体"/>
                <w:sz w:val="18"/>
                <w:szCs w:val="18"/>
                <w:vertAlign w:val="superscript"/>
              </w:rPr>
              <w:t xml:space="preserve">b </w:t>
            </w:r>
            <w:r>
              <w:rPr>
                <w:rFonts w:hint="eastAsia" w:hAnsi="宋体" w:cs="宋体"/>
                <w:sz w:val="18"/>
                <w:szCs w:val="18"/>
              </w:rPr>
              <w:t>卧式活套的层数应依据套量、活套运行空间的长度及高度来计算确定。</w:t>
            </w:r>
          </w:p>
        </w:tc>
      </w:tr>
    </w:tbl>
    <w:p>
      <w:pPr>
        <w:pStyle w:val="157"/>
        <w:numPr>
          <w:ilvl w:val="0"/>
          <w:numId w:val="19"/>
        </w:numPr>
        <w:outlineLvl w:val="0"/>
        <w:rPr>
          <w:color w:val="000000"/>
        </w:rPr>
      </w:pPr>
      <w:bookmarkStart w:id="97" w:name="_Toc28782"/>
      <w:r>
        <w:rPr>
          <w:rFonts w:hint="eastAsia"/>
          <w:color w:val="000000"/>
        </w:rPr>
        <w:t>技术要求</w:t>
      </w:r>
      <w:bookmarkEnd w:id="84"/>
      <w:bookmarkEnd w:id="85"/>
      <w:bookmarkEnd w:id="86"/>
      <w:bookmarkEnd w:id="87"/>
      <w:bookmarkEnd w:id="88"/>
      <w:bookmarkEnd w:id="89"/>
      <w:bookmarkEnd w:id="90"/>
      <w:bookmarkEnd w:id="91"/>
      <w:bookmarkEnd w:id="92"/>
      <w:bookmarkEnd w:id="93"/>
      <w:bookmarkEnd w:id="94"/>
      <w:bookmarkEnd w:id="95"/>
      <w:bookmarkEnd w:id="96"/>
      <w:bookmarkEnd w:id="97"/>
    </w:p>
    <w:p>
      <w:pPr>
        <w:numPr>
          <w:ilvl w:val="1"/>
          <w:numId w:val="19"/>
        </w:numPr>
        <w:spacing w:before="240" w:after="240"/>
        <w:ind w:left="0"/>
        <w:outlineLvl w:val="1"/>
        <w:rPr>
          <w:rFonts w:ascii="黑体" w:hAnsi="黑体" w:eastAsia="黑体" w:cs="黑体"/>
        </w:rPr>
      </w:pPr>
      <w:bookmarkStart w:id="98" w:name="_Toc322932375"/>
      <w:bookmarkStart w:id="99" w:name="_Toc320605976"/>
      <w:bookmarkStart w:id="100" w:name="_Toc320605899"/>
      <w:bookmarkStart w:id="101" w:name="_Toc320608629"/>
      <w:bookmarkStart w:id="102" w:name="_Toc320608255"/>
      <w:bookmarkStart w:id="103" w:name="_Toc320606103"/>
      <w:bookmarkStart w:id="104" w:name="_Toc320607312"/>
      <w:bookmarkStart w:id="105" w:name="_Toc320607622"/>
      <w:bookmarkStart w:id="106" w:name="_Toc320608726"/>
      <w:bookmarkStart w:id="107" w:name="_Toc19788"/>
      <w:bookmarkStart w:id="108" w:name="_Toc320607928"/>
      <w:bookmarkStart w:id="109" w:name="_Toc320608543"/>
      <w:r>
        <w:rPr>
          <w:rFonts w:hint="eastAsia" w:ascii="黑体" w:hAnsi="黑体" w:eastAsia="黑体" w:cs="黑体"/>
          <w:color w:val="000000"/>
        </w:rPr>
        <w:t>通用</w:t>
      </w:r>
      <w:r>
        <w:rPr>
          <w:rFonts w:hint="eastAsia" w:ascii="黑体" w:hAnsi="黑体" w:eastAsia="黑体" w:cs="黑体"/>
        </w:rPr>
        <w:t>要求</w:t>
      </w:r>
      <w:bookmarkEnd w:id="98"/>
      <w:bookmarkEnd w:id="99"/>
      <w:bookmarkEnd w:id="100"/>
      <w:bookmarkEnd w:id="101"/>
      <w:bookmarkEnd w:id="102"/>
      <w:bookmarkEnd w:id="103"/>
      <w:bookmarkEnd w:id="104"/>
      <w:bookmarkEnd w:id="105"/>
      <w:bookmarkEnd w:id="106"/>
      <w:bookmarkEnd w:id="107"/>
      <w:bookmarkEnd w:id="108"/>
      <w:bookmarkEnd w:id="109"/>
    </w:p>
    <w:p>
      <w:pPr>
        <w:pStyle w:val="70"/>
        <w:rPr>
          <w:rFonts w:hAnsi="宋体" w:cs="宋体"/>
          <w:szCs w:val="21"/>
        </w:rPr>
      </w:pPr>
      <w:bookmarkStart w:id="110" w:name="_Toc15002"/>
      <w:bookmarkStart w:id="111" w:name="_Toc321808238"/>
      <w:bookmarkStart w:id="112" w:name="_Toc322932376"/>
      <w:bookmarkStart w:id="113" w:name="_Toc329943210"/>
      <w:r>
        <w:rPr>
          <w:rFonts w:hint="eastAsia" w:hAnsi="宋体" w:cs="宋体"/>
          <w:szCs w:val="21"/>
        </w:rPr>
        <w:t>除非本文件另有规定，卧式活套</w:t>
      </w:r>
      <w:bookmarkStart w:id="114" w:name="_Hlk58927950"/>
      <w:r>
        <w:rPr>
          <w:rFonts w:hint="eastAsia" w:hAnsi="宋体" w:cs="宋体"/>
          <w:szCs w:val="21"/>
        </w:rPr>
        <w:t>的设计和制造所执行的通用技术要求应符合以下规定：</w:t>
      </w:r>
      <w:bookmarkEnd w:id="110"/>
    </w:p>
    <w:p>
      <w:pPr>
        <w:pStyle w:val="70"/>
        <w:rPr>
          <w:rFonts w:hAnsi="宋体" w:cs="宋体"/>
          <w:szCs w:val="21"/>
        </w:rPr>
      </w:pPr>
      <w:r>
        <w:rPr>
          <w:rFonts w:hint="eastAsia" w:hAnsi="宋体" w:cs="宋体"/>
          <w:szCs w:val="21"/>
        </w:rPr>
        <w:t>——产品检验应符合</w:t>
      </w:r>
      <w:r>
        <w:rPr>
          <w:rFonts w:hAnsi="宋体" w:cs="宋体"/>
          <w:szCs w:val="21"/>
        </w:rPr>
        <w:t>GB/T 37400.1</w:t>
      </w:r>
      <w:r>
        <w:rPr>
          <w:rFonts w:hint="eastAsia" w:hAnsi="宋体" w:cs="宋体"/>
          <w:szCs w:val="21"/>
        </w:rPr>
        <w:t>规定的要求</w:t>
      </w:r>
      <w:r>
        <w:rPr>
          <w:rFonts w:hAnsi="宋体" w:cs="宋体"/>
          <w:szCs w:val="21"/>
        </w:rPr>
        <w:t>；</w:t>
      </w:r>
    </w:p>
    <w:p>
      <w:pPr>
        <w:pStyle w:val="70"/>
        <w:rPr>
          <w:rFonts w:hAnsi="宋体" w:cs="宋体"/>
          <w:szCs w:val="21"/>
        </w:rPr>
      </w:pPr>
      <w:r>
        <w:rPr>
          <w:rFonts w:hint="eastAsia" w:hAnsi="宋体" w:cs="宋体"/>
          <w:szCs w:val="21"/>
        </w:rPr>
        <w:t>——火焰切割件应符合</w:t>
      </w:r>
      <w:r>
        <w:rPr>
          <w:rFonts w:hAnsi="宋体" w:cs="宋体"/>
          <w:szCs w:val="21"/>
        </w:rPr>
        <w:t>GB/T 37400.2</w:t>
      </w:r>
      <w:r>
        <w:rPr>
          <w:rFonts w:hint="eastAsia" w:hAnsi="宋体" w:cs="宋体"/>
          <w:szCs w:val="21"/>
        </w:rPr>
        <w:t>规定的要求</w:t>
      </w:r>
      <w:r>
        <w:rPr>
          <w:rFonts w:hAnsi="宋体" w:cs="宋体"/>
          <w:szCs w:val="21"/>
        </w:rPr>
        <w:t>；</w:t>
      </w:r>
    </w:p>
    <w:p>
      <w:pPr>
        <w:pStyle w:val="70"/>
        <w:rPr>
          <w:rFonts w:hAnsi="宋体" w:cs="宋体"/>
          <w:szCs w:val="21"/>
        </w:rPr>
      </w:pPr>
      <w:bookmarkStart w:id="115" w:name="_Toc31580"/>
      <w:r>
        <w:rPr>
          <w:rFonts w:hint="eastAsia" w:hAnsi="宋体" w:cs="宋体"/>
          <w:szCs w:val="21"/>
        </w:rPr>
        <w:t>——</w:t>
      </w:r>
      <w:r>
        <w:rPr>
          <w:rFonts w:hAnsi="宋体" w:cs="宋体"/>
          <w:szCs w:val="21"/>
        </w:rPr>
        <w:t>焊接件</w:t>
      </w:r>
      <w:r>
        <w:rPr>
          <w:rFonts w:hint="eastAsia" w:hAnsi="宋体" w:cs="宋体"/>
          <w:szCs w:val="21"/>
        </w:rPr>
        <w:t>应符合</w:t>
      </w:r>
      <w:r>
        <w:rPr>
          <w:rFonts w:hAnsi="宋体" w:cs="宋体"/>
          <w:szCs w:val="21"/>
        </w:rPr>
        <w:t>GB/T 37400.3</w:t>
      </w:r>
      <w:r>
        <w:rPr>
          <w:rFonts w:hint="eastAsia" w:hAnsi="宋体" w:cs="宋体"/>
          <w:szCs w:val="21"/>
        </w:rPr>
        <w:t>规定的要求</w:t>
      </w:r>
      <w:r>
        <w:rPr>
          <w:rFonts w:hAnsi="宋体" w:cs="宋体"/>
          <w:szCs w:val="21"/>
        </w:rPr>
        <w:t>；</w:t>
      </w:r>
      <w:bookmarkEnd w:id="115"/>
    </w:p>
    <w:p>
      <w:pPr>
        <w:pStyle w:val="70"/>
        <w:rPr>
          <w:rFonts w:hAnsi="宋体" w:cs="宋体"/>
          <w:szCs w:val="21"/>
        </w:rPr>
      </w:pPr>
      <w:bookmarkStart w:id="116" w:name="_Toc5878"/>
      <w:r>
        <w:rPr>
          <w:rFonts w:hint="eastAsia" w:hAnsi="宋体" w:cs="宋体"/>
          <w:szCs w:val="21"/>
        </w:rPr>
        <w:t>——</w:t>
      </w:r>
      <w:r>
        <w:rPr>
          <w:rFonts w:hAnsi="宋体" w:cs="宋体"/>
          <w:szCs w:val="21"/>
        </w:rPr>
        <w:t>有色金属铸件</w:t>
      </w:r>
      <w:r>
        <w:rPr>
          <w:rFonts w:hint="eastAsia" w:hAnsi="宋体" w:cs="宋体"/>
          <w:szCs w:val="21"/>
        </w:rPr>
        <w:t>应符合</w:t>
      </w:r>
      <w:r>
        <w:rPr>
          <w:rFonts w:hAnsi="宋体" w:cs="宋体"/>
          <w:szCs w:val="21"/>
        </w:rPr>
        <w:t>GB/T 37400.5</w:t>
      </w:r>
      <w:r>
        <w:rPr>
          <w:rFonts w:hint="eastAsia" w:hAnsi="宋体" w:cs="宋体"/>
          <w:szCs w:val="21"/>
        </w:rPr>
        <w:t>规定的要求</w:t>
      </w:r>
      <w:r>
        <w:rPr>
          <w:rFonts w:hAnsi="宋体" w:cs="宋体"/>
          <w:szCs w:val="21"/>
        </w:rPr>
        <w:t>；</w:t>
      </w:r>
      <w:bookmarkEnd w:id="116"/>
    </w:p>
    <w:p>
      <w:pPr>
        <w:pStyle w:val="70"/>
        <w:rPr>
          <w:rFonts w:hAnsi="宋体" w:cs="宋体"/>
          <w:szCs w:val="21"/>
        </w:rPr>
      </w:pPr>
      <w:bookmarkStart w:id="117" w:name="_Toc26293"/>
      <w:r>
        <w:rPr>
          <w:rFonts w:hint="eastAsia" w:hAnsi="宋体" w:cs="宋体"/>
          <w:szCs w:val="21"/>
        </w:rPr>
        <w:t>——</w:t>
      </w:r>
      <w:r>
        <w:rPr>
          <w:rFonts w:hAnsi="宋体" w:cs="宋体"/>
          <w:szCs w:val="21"/>
        </w:rPr>
        <w:t>铸钢件</w:t>
      </w:r>
      <w:r>
        <w:rPr>
          <w:rFonts w:hint="eastAsia" w:hAnsi="宋体" w:cs="宋体"/>
          <w:szCs w:val="21"/>
        </w:rPr>
        <w:t>应符合</w:t>
      </w:r>
      <w:r>
        <w:rPr>
          <w:rFonts w:hAnsi="宋体" w:cs="宋体"/>
          <w:szCs w:val="21"/>
        </w:rPr>
        <w:t>GB/T 37400.6</w:t>
      </w:r>
      <w:r>
        <w:rPr>
          <w:rFonts w:hint="eastAsia" w:hAnsi="宋体" w:cs="宋体"/>
          <w:szCs w:val="21"/>
        </w:rPr>
        <w:t>规定的要求</w:t>
      </w:r>
      <w:r>
        <w:rPr>
          <w:rFonts w:hAnsi="宋体" w:cs="宋体"/>
          <w:szCs w:val="21"/>
        </w:rPr>
        <w:t>；</w:t>
      </w:r>
      <w:bookmarkEnd w:id="117"/>
    </w:p>
    <w:p>
      <w:pPr>
        <w:pStyle w:val="70"/>
        <w:rPr>
          <w:rFonts w:hAnsi="宋体" w:cs="宋体"/>
          <w:szCs w:val="21"/>
        </w:rPr>
      </w:pPr>
      <w:r>
        <w:rPr>
          <w:rFonts w:hint="eastAsia" w:hAnsi="宋体" w:cs="宋体"/>
          <w:szCs w:val="21"/>
        </w:rPr>
        <w:t>——铸钢件补焊应符合</w:t>
      </w:r>
      <w:r>
        <w:rPr>
          <w:rFonts w:hAnsi="宋体" w:cs="宋体"/>
          <w:szCs w:val="21"/>
        </w:rPr>
        <w:t>GB/T 37400.7</w:t>
      </w:r>
      <w:r>
        <w:rPr>
          <w:rFonts w:hint="eastAsia" w:hAnsi="宋体" w:cs="宋体"/>
          <w:szCs w:val="21"/>
        </w:rPr>
        <w:t>规定的要求</w:t>
      </w:r>
      <w:r>
        <w:rPr>
          <w:rFonts w:hAnsi="宋体" w:cs="宋体"/>
          <w:szCs w:val="21"/>
        </w:rPr>
        <w:t>；</w:t>
      </w:r>
    </w:p>
    <w:p>
      <w:pPr>
        <w:pStyle w:val="70"/>
        <w:rPr>
          <w:rFonts w:hAnsi="宋体" w:cs="宋体"/>
          <w:szCs w:val="21"/>
        </w:rPr>
      </w:pPr>
      <w:bookmarkStart w:id="118" w:name="_Toc6979"/>
      <w:r>
        <w:rPr>
          <w:rFonts w:hint="eastAsia" w:hAnsi="宋体" w:cs="宋体"/>
          <w:szCs w:val="21"/>
        </w:rPr>
        <w:t>——</w:t>
      </w:r>
      <w:r>
        <w:rPr>
          <w:rFonts w:hAnsi="宋体" w:cs="宋体"/>
          <w:szCs w:val="21"/>
        </w:rPr>
        <w:t>锻件</w:t>
      </w:r>
      <w:r>
        <w:rPr>
          <w:rFonts w:hint="eastAsia" w:hAnsi="宋体" w:cs="宋体"/>
          <w:szCs w:val="21"/>
        </w:rPr>
        <w:t>应符合</w:t>
      </w:r>
      <w:r>
        <w:rPr>
          <w:rFonts w:hAnsi="宋体" w:cs="宋体"/>
          <w:szCs w:val="21"/>
        </w:rPr>
        <w:t>GB/T 37400.8</w:t>
      </w:r>
      <w:r>
        <w:rPr>
          <w:rFonts w:hint="eastAsia" w:hAnsi="宋体" w:cs="宋体"/>
          <w:szCs w:val="21"/>
        </w:rPr>
        <w:t>规定的要求</w:t>
      </w:r>
      <w:r>
        <w:rPr>
          <w:rFonts w:hAnsi="宋体" w:cs="宋体"/>
          <w:szCs w:val="21"/>
        </w:rPr>
        <w:t>；</w:t>
      </w:r>
      <w:bookmarkEnd w:id="118"/>
    </w:p>
    <w:p>
      <w:pPr>
        <w:pStyle w:val="70"/>
        <w:rPr>
          <w:rFonts w:hAnsi="宋体" w:cs="宋体"/>
          <w:szCs w:val="21"/>
        </w:rPr>
      </w:pPr>
      <w:bookmarkStart w:id="119" w:name="_Toc12262"/>
      <w:r>
        <w:rPr>
          <w:rFonts w:hint="eastAsia" w:hAnsi="宋体" w:cs="宋体"/>
          <w:szCs w:val="21"/>
        </w:rPr>
        <w:t>——</w:t>
      </w:r>
      <w:r>
        <w:rPr>
          <w:rFonts w:hAnsi="宋体" w:cs="宋体"/>
          <w:szCs w:val="21"/>
        </w:rPr>
        <w:t>切削加工件</w:t>
      </w:r>
      <w:r>
        <w:rPr>
          <w:rFonts w:hint="eastAsia" w:hAnsi="宋体" w:cs="宋体"/>
          <w:szCs w:val="21"/>
        </w:rPr>
        <w:t>应符合</w:t>
      </w:r>
      <w:r>
        <w:rPr>
          <w:rFonts w:hAnsi="宋体" w:cs="宋体"/>
          <w:szCs w:val="21"/>
        </w:rPr>
        <w:t>GB/T 37400.9</w:t>
      </w:r>
      <w:r>
        <w:rPr>
          <w:rFonts w:hint="eastAsia" w:hAnsi="宋体" w:cs="宋体"/>
          <w:szCs w:val="21"/>
        </w:rPr>
        <w:t>规定的要求</w:t>
      </w:r>
      <w:r>
        <w:rPr>
          <w:rFonts w:hAnsi="宋体" w:cs="宋体"/>
          <w:szCs w:val="21"/>
        </w:rPr>
        <w:t>；</w:t>
      </w:r>
      <w:bookmarkEnd w:id="119"/>
    </w:p>
    <w:p>
      <w:pPr>
        <w:pStyle w:val="70"/>
        <w:rPr>
          <w:rFonts w:hAnsi="宋体" w:cs="宋体"/>
          <w:szCs w:val="21"/>
        </w:rPr>
      </w:pPr>
      <w:bookmarkStart w:id="120" w:name="_Toc16901"/>
      <w:r>
        <w:rPr>
          <w:rFonts w:hint="eastAsia" w:hAnsi="宋体" w:cs="宋体"/>
          <w:szCs w:val="21"/>
        </w:rPr>
        <w:t>——</w:t>
      </w:r>
      <w:r>
        <w:rPr>
          <w:rFonts w:hAnsi="宋体" w:cs="宋体"/>
          <w:szCs w:val="21"/>
        </w:rPr>
        <w:t>装配</w:t>
      </w:r>
      <w:r>
        <w:rPr>
          <w:rFonts w:hint="eastAsia" w:hAnsi="宋体" w:cs="宋体"/>
          <w:szCs w:val="21"/>
        </w:rPr>
        <w:t>应符合</w:t>
      </w:r>
      <w:r>
        <w:rPr>
          <w:rFonts w:hAnsi="宋体" w:cs="宋体"/>
          <w:szCs w:val="21"/>
        </w:rPr>
        <w:t>GB/T 37400.10</w:t>
      </w:r>
      <w:r>
        <w:rPr>
          <w:rFonts w:hint="eastAsia" w:hAnsi="宋体" w:cs="宋体"/>
          <w:szCs w:val="21"/>
        </w:rPr>
        <w:t>规定的要求</w:t>
      </w:r>
      <w:r>
        <w:rPr>
          <w:rFonts w:hAnsi="宋体" w:cs="宋体"/>
          <w:szCs w:val="21"/>
        </w:rPr>
        <w:t>；</w:t>
      </w:r>
      <w:bookmarkEnd w:id="120"/>
    </w:p>
    <w:p>
      <w:pPr>
        <w:pStyle w:val="70"/>
        <w:rPr>
          <w:rFonts w:hAnsi="宋体" w:cs="宋体"/>
          <w:szCs w:val="21"/>
        </w:rPr>
      </w:pPr>
      <w:bookmarkStart w:id="121" w:name="_Toc9918"/>
      <w:r>
        <w:rPr>
          <w:rFonts w:hint="eastAsia" w:hAnsi="宋体" w:cs="宋体"/>
          <w:szCs w:val="21"/>
        </w:rPr>
        <w:t>——</w:t>
      </w:r>
      <w:r>
        <w:rPr>
          <w:rFonts w:hAnsi="宋体" w:cs="宋体"/>
          <w:szCs w:val="21"/>
        </w:rPr>
        <w:t>配管</w:t>
      </w:r>
      <w:r>
        <w:rPr>
          <w:rFonts w:hint="eastAsia" w:hAnsi="宋体" w:cs="宋体"/>
          <w:szCs w:val="21"/>
        </w:rPr>
        <w:t>应符合</w:t>
      </w:r>
      <w:r>
        <w:rPr>
          <w:rFonts w:hAnsi="宋体" w:cs="宋体"/>
          <w:szCs w:val="21"/>
        </w:rPr>
        <w:t>GB/T 37400.11</w:t>
      </w:r>
      <w:r>
        <w:rPr>
          <w:rFonts w:hint="eastAsia" w:hAnsi="宋体" w:cs="宋体"/>
          <w:szCs w:val="21"/>
        </w:rPr>
        <w:t>规定的要求</w:t>
      </w:r>
      <w:r>
        <w:rPr>
          <w:rFonts w:hAnsi="宋体" w:cs="宋体"/>
          <w:szCs w:val="21"/>
        </w:rPr>
        <w:t>；</w:t>
      </w:r>
      <w:bookmarkEnd w:id="121"/>
    </w:p>
    <w:p>
      <w:pPr>
        <w:pStyle w:val="70"/>
        <w:rPr>
          <w:rFonts w:hAnsi="宋体" w:cs="宋体"/>
          <w:szCs w:val="21"/>
        </w:rPr>
      </w:pPr>
      <w:bookmarkStart w:id="122" w:name="_Toc17861"/>
      <w:r>
        <w:rPr>
          <w:rFonts w:hint="eastAsia" w:hAnsi="宋体" w:cs="宋体"/>
          <w:szCs w:val="21"/>
        </w:rPr>
        <w:t>——涂装应符合</w:t>
      </w:r>
      <w:r>
        <w:rPr>
          <w:rFonts w:hAnsi="宋体" w:cs="宋体"/>
          <w:szCs w:val="21"/>
        </w:rPr>
        <w:t>GB/T 37400</w:t>
      </w:r>
      <w:r>
        <w:rPr>
          <w:rFonts w:hint="eastAsia" w:hAnsi="宋体" w:cs="宋体"/>
          <w:szCs w:val="21"/>
        </w:rPr>
        <w:t>.12规定的要求，颜色应与轧线设备统一；</w:t>
      </w:r>
      <w:bookmarkEnd w:id="122"/>
    </w:p>
    <w:p>
      <w:pPr>
        <w:pStyle w:val="70"/>
        <w:rPr>
          <w:rFonts w:hAnsi="宋体" w:cs="宋体"/>
          <w:szCs w:val="21"/>
        </w:rPr>
      </w:pPr>
      <w:r>
        <w:rPr>
          <w:rFonts w:hint="eastAsia" w:hAnsi="宋体" w:cs="宋体"/>
          <w:szCs w:val="21"/>
        </w:rPr>
        <w:t>——包装应符合</w:t>
      </w:r>
      <w:r>
        <w:rPr>
          <w:rFonts w:hAnsi="宋体" w:cs="宋体"/>
          <w:szCs w:val="21"/>
        </w:rPr>
        <w:t>GB/T 37400</w:t>
      </w:r>
      <w:r>
        <w:rPr>
          <w:rFonts w:hint="eastAsia" w:hAnsi="宋体" w:cs="宋体"/>
          <w:szCs w:val="21"/>
        </w:rPr>
        <w:t>.1</w:t>
      </w:r>
      <w:r>
        <w:rPr>
          <w:rFonts w:hAnsi="宋体" w:cs="宋体"/>
          <w:szCs w:val="21"/>
        </w:rPr>
        <w:t>3</w:t>
      </w:r>
      <w:r>
        <w:rPr>
          <w:rFonts w:hint="eastAsia" w:hAnsi="宋体" w:cs="宋体"/>
          <w:szCs w:val="21"/>
        </w:rPr>
        <w:t>规定的要求；</w:t>
      </w:r>
    </w:p>
    <w:p>
      <w:pPr>
        <w:pStyle w:val="70"/>
        <w:rPr>
          <w:rFonts w:hAnsi="宋体" w:cs="宋体"/>
          <w:szCs w:val="21"/>
        </w:rPr>
      </w:pPr>
      <w:bookmarkStart w:id="123" w:name="_Toc26060"/>
      <w:r>
        <w:rPr>
          <w:rFonts w:hint="eastAsia" w:hAnsi="宋体" w:cs="宋体"/>
          <w:szCs w:val="21"/>
        </w:rPr>
        <w:t>——</w:t>
      </w:r>
      <w:r>
        <w:rPr>
          <w:rFonts w:hAnsi="宋体" w:cs="宋体"/>
          <w:szCs w:val="21"/>
        </w:rPr>
        <w:t>铸钢件无损</w:t>
      </w:r>
      <w:r>
        <w:rPr>
          <w:rFonts w:hint="eastAsia" w:hAnsi="宋体" w:cs="宋体"/>
          <w:szCs w:val="21"/>
        </w:rPr>
        <w:t>探伤应符合</w:t>
      </w:r>
      <w:r>
        <w:rPr>
          <w:rFonts w:hAnsi="宋体" w:cs="宋体"/>
          <w:szCs w:val="21"/>
        </w:rPr>
        <w:t>GB/T 37400.14</w:t>
      </w:r>
      <w:r>
        <w:rPr>
          <w:rFonts w:hint="eastAsia" w:hAnsi="宋体" w:cs="宋体"/>
          <w:szCs w:val="21"/>
        </w:rPr>
        <w:t>规定的要求</w:t>
      </w:r>
      <w:r>
        <w:rPr>
          <w:rFonts w:hAnsi="宋体" w:cs="宋体"/>
          <w:szCs w:val="21"/>
        </w:rPr>
        <w:t>；</w:t>
      </w:r>
      <w:bookmarkEnd w:id="123"/>
    </w:p>
    <w:p>
      <w:pPr>
        <w:pStyle w:val="70"/>
        <w:rPr>
          <w:rFonts w:hAnsi="宋体" w:cs="宋体"/>
          <w:szCs w:val="21"/>
        </w:rPr>
      </w:pPr>
      <w:bookmarkStart w:id="124" w:name="_Toc8274"/>
      <w:r>
        <w:rPr>
          <w:rFonts w:hint="eastAsia" w:hAnsi="宋体" w:cs="宋体"/>
          <w:szCs w:val="21"/>
        </w:rPr>
        <w:t>——</w:t>
      </w:r>
      <w:r>
        <w:rPr>
          <w:rFonts w:hAnsi="宋体" w:cs="宋体"/>
          <w:szCs w:val="21"/>
        </w:rPr>
        <w:t>锻钢件无损</w:t>
      </w:r>
      <w:r>
        <w:rPr>
          <w:rFonts w:hint="eastAsia" w:hAnsi="宋体" w:cs="宋体"/>
          <w:szCs w:val="21"/>
        </w:rPr>
        <w:t>探伤应符合</w:t>
      </w:r>
      <w:r>
        <w:rPr>
          <w:rFonts w:hAnsi="宋体" w:cs="宋体"/>
          <w:szCs w:val="21"/>
        </w:rPr>
        <w:t>GB/T 37400.15</w:t>
      </w:r>
      <w:bookmarkEnd w:id="111"/>
      <w:bookmarkEnd w:id="112"/>
      <w:bookmarkEnd w:id="113"/>
      <w:r>
        <w:rPr>
          <w:rFonts w:hint="eastAsia" w:hAnsi="宋体" w:cs="宋体"/>
          <w:szCs w:val="21"/>
        </w:rPr>
        <w:t>规定的要求；</w:t>
      </w:r>
      <w:bookmarkEnd w:id="124"/>
    </w:p>
    <w:p>
      <w:pPr>
        <w:pStyle w:val="70"/>
        <w:rPr>
          <w:rFonts w:hAnsi="宋体" w:cs="宋体"/>
          <w:sz w:val="18"/>
          <w:szCs w:val="18"/>
        </w:rPr>
      </w:pPr>
      <w:r>
        <w:rPr>
          <w:rFonts w:hint="eastAsia" w:hAnsi="宋体" w:cs="宋体"/>
          <w:szCs w:val="21"/>
        </w:rPr>
        <w:t>——液压系统应符合</w:t>
      </w:r>
      <w:r>
        <w:rPr>
          <w:rFonts w:hAnsi="宋体" w:cs="宋体"/>
          <w:szCs w:val="21"/>
        </w:rPr>
        <w:t>GB/T 37400.16</w:t>
      </w:r>
      <w:bookmarkEnd w:id="114"/>
      <w:r>
        <w:rPr>
          <w:rFonts w:hint="eastAsia" w:hAnsi="宋体" w:cs="宋体"/>
          <w:szCs w:val="21"/>
        </w:rPr>
        <w:t>规定的要求。</w:t>
      </w:r>
    </w:p>
    <w:p>
      <w:pPr>
        <w:spacing w:before="240" w:after="240"/>
        <w:outlineLvl w:val="1"/>
        <w:rPr>
          <w:rFonts w:ascii="宋体" w:hAnsi="宋体" w:cs="宋体"/>
          <w:strike/>
          <w:color w:val="FF0000"/>
          <w:kern w:val="0"/>
          <w:sz w:val="18"/>
          <w:szCs w:val="18"/>
        </w:rPr>
      </w:pPr>
      <w:bookmarkStart w:id="125" w:name="_Toc13716"/>
      <w:bookmarkStart w:id="126" w:name="_Toc320607929"/>
      <w:bookmarkStart w:id="127" w:name="_Toc320608630"/>
      <w:bookmarkStart w:id="128" w:name="_Toc320605900"/>
      <w:bookmarkStart w:id="129" w:name="_Toc320608256"/>
      <w:bookmarkStart w:id="130" w:name="_Toc322932388"/>
      <w:bookmarkStart w:id="131" w:name="_Toc320607313"/>
      <w:bookmarkStart w:id="132" w:name="_Toc320605977"/>
      <w:bookmarkStart w:id="133" w:name="_Toc320608544"/>
      <w:bookmarkStart w:id="134" w:name="_Toc320607623"/>
      <w:bookmarkStart w:id="135" w:name="_Toc320608727"/>
      <w:bookmarkStart w:id="136" w:name="_Toc320606104"/>
      <w:r>
        <w:rPr>
          <w:rFonts w:hint="eastAsia" w:ascii="黑体" w:hAnsi="黑体" w:eastAsia="黑体" w:cs="Arial"/>
        </w:rPr>
        <w:t xml:space="preserve">6.2  </w:t>
      </w:r>
      <w:r>
        <w:rPr>
          <w:rFonts w:ascii="黑体" w:hAnsi="黑体" w:eastAsia="黑体" w:cs="Arial"/>
        </w:rPr>
        <w:t>主要</w:t>
      </w:r>
      <w:r>
        <w:rPr>
          <w:rFonts w:ascii="黑体" w:hAnsi="黑体" w:eastAsia="黑体"/>
        </w:rPr>
        <w:t>零件</w:t>
      </w:r>
      <w:r>
        <w:rPr>
          <w:rFonts w:ascii="黑体" w:hAnsi="黑体" w:eastAsia="黑体" w:cs="Arial"/>
        </w:rPr>
        <w:t>技术要求</w:t>
      </w:r>
      <w:bookmarkEnd w:id="125"/>
      <w:bookmarkEnd w:id="126"/>
      <w:bookmarkEnd w:id="127"/>
      <w:bookmarkEnd w:id="128"/>
      <w:bookmarkEnd w:id="129"/>
      <w:bookmarkEnd w:id="130"/>
      <w:bookmarkEnd w:id="131"/>
      <w:bookmarkEnd w:id="132"/>
      <w:bookmarkEnd w:id="133"/>
      <w:bookmarkEnd w:id="134"/>
      <w:bookmarkEnd w:id="135"/>
      <w:bookmarkEnd w:id="136"/>
    </w:p>
    <w:p>
      <w:pPr>
        <w:pStyle w:val="70"/>
        <w:spacing w:after="156" w:afterLines="50"/>
        <w:ind w:firstLine="0" w:firstLineChars="0"/>
        <w:rPr>
          <w:rFonts w:ascii="黑体" w:hAnsi="黑体" w:eastAsia="黑体" w:cs="黑体"/>
          <w:szCs w:val="21"/>
        </w:rPr>
      </w:pPr>
      <w:r>
        <w:rPr>
          <w:rFonts w:hint="eastAsia" w:ascii="黑体" w:hAnsi="黑体" w:eastAsia="黑体" w:cs="黑体"/>
          <w:szCs w:val="21"/>
        </w:rPr>
        <w:t>6.2.1  转向棍</w:t>
      </w:r>
    </w:p>
    <w:p>
      <w:pPr>
        <w:pStyle w:val="70"/>
        <w:rPr>
          <w:rFonts w:hAnsi="宋体" w:cs="宋体"/>
          <w:szCs w:val="21"/>
        </w:rPr>
      </w:pPr>
      <w:r>
        <w:rPr>
          <w:rFonts w:hint="eastAsia" w:hAnsi="宋体" w:cs="宋体"/>
          <w:szCs w:val="21"/>
        </w:rPr>
        <w:t>转向辊应采用卷焊制成。对接焊缝的焊缝质量不应低于GB/T 37400.3—2019所规定的C级要求，尺寸公差精度不应低于GB/T 37400.3—2019所规定的B级要求，形位公差精度不低于GB/T 37400.3—2019所规定的F级要求。对接焊缝应进行100%的超声波无损检测，检测等级不应低于GB/T 11345—2013所规定的B级要求，验收等级应符合GB/T 29712—2019所规定的3级要求。</w:t>
      </w:r>
    </w:p>
    <w:p>
      <w:pPr>
        <w:pStyle w:val="70"/>
        <w:rPr>
          <w:rFonts w:hAnsi="宋体" w:cs="宋体"/>
          <w:szCs w:val="21"/>
        </w:rPr>
      </w:pPr>
      <w:r>
        <w:rPr>
          <w:rFonts w:hint="eastAsia" w:hAnsi="宋体" w:cs="宋体"/>
          <w:szCs w:val="21"/>
        </w:rPr>
        <w:t>辊面相对于轴线的圆跳动公差应</w:t>
      </w:r>
      <w:r>
        <w:rPr>
          <w:rFonts w:hint="eastAsia" w:hAnsi="宋体" w:cs="宋体"/>
          <w:szCs w:val="21"/>
          <w:lang w:val="en-US" w:eastAsia="zh-CN"/>
        </w:rPr>
        <w:t>为</w:t>
      </w:r>
      <w:r>
        <w:rPr>
          <w:rFonts w:hint="eastAsia" w:hAnsi="宋体" w:cs="宋体"/>
          <w:szCs w:val="21"/>
        </w:rPr>
        <w:t>0</w:t>
      </w:r>
      <w:r>
        <w:rPr>
          <w:rFonts w:hAnsi="宋体" w:cs="宋体"/>
          <w:szCs w:val="21"/>
        </w:rPr>
        <w:t>.05</w:t>
      </w:r>
      <w:r>
        <w:rPr>
          <w:rFonts w:hint="eastAsia" w:hAnsi="宋体" w:cs="宋体"/>
          <w:szCs w:val="21"/>
        </w:rPr>
        <w:t>mm。</w:t>
      </w:r>
    </w:p>
    <w:p>
      <w:pPr>
        <w:pStyle w:val="70"/>
        <w:spacing w:before="156" w:beforeLines="50" w:after="156" w:afterLines="50"/>
        <w:ind w:firstLine="0" w:firstLineChars="0"/>
        <w:rPr>
          <w:rFonts w:ascii="黑体" w:hAnsi="黑体" w:eastAsia="黑体" w:cs="黑体"/>
          <w:szCs w:val="21"/>
        </w:rPr>
      </w:pPr>
      <w:r>
        <w:rPr>
          <w:rFonts w:hint="eastAsia" w:ascii="黑体" w:hAnsi="黑体" w:eastAsia="黑体" w:cs="黑体"/>
          <w:szCs w:val="21"/>
        </w:rPr>
        <w:t>6.2.2  导轨</w:t>
      </w:r>
    </w:p>
    <w:p>
      <w:pPr>
        <w:pStyle w:val="70"/>
        <w:rPr>
          <w:rFonts w:hAnsi="宋体" w:cs="宋体"/>
          <w:szCs w:val="21"/>
        </w:rPr>
      </w:pPr>
      <w:r>
        <w:rPr>
          <w:rFonts w:hint="eastAsia" w:hAnsi="宋体" w:cs="宋体"/>
          <w:szCs w:val="21"/>
        </w:rPr>
        <w:t>活套车导轨的精度要求应符合GB/T 2585的规定。轨头宽度</w:t>
      </w:r>
      <w:r>
        <w:rPr>
          <w:rFonts w:hint="eastAsia" w:hAnsi="宋体" w:cs="宋体"/>
          <w:szCs w:val="21"/>
          <w:lang w:val="en-US" w:eastAsia="zh-CN"/>
        </w:rPr>
        <w:t>的</w:t>
      </w:r>
      <w:r>
        <w:rPr>
          <w:rFonts w:hint="eastAsia" w:hAnsi="宋体" w:cs="宋体"/>
          <w:szCs w:val="21"/>
        </w:rPr>
        <w:t>极限偏差</w:t>
      </w:r>
      <w:r>
        <w:rPr>
          <w:rFonts w:hint="eastAsia" w:hAnsi="宋体" w:cs="宋体"/>
          <w:szCs w:val="21"/>
          <w:lang w:val="en-US" w:eastAsia="zh-CN"/>
        </w:rPr>
        <w:t>应</w:t>
      </w:r>
      <w:r>
        <w:rPr>
          <w:rFonts w:hint="eastAsia" w:hAnsi="宋体" w:cs="宋体"/>
          <w:szCs w:val="21"/>
        </w:rPr>
        <w:t>为±0.5mm。</w:t>
      </w:r>
    </w:p>
    <w:p>
      <w:pPr>
        <w:pStyle w:val="70"/>
        <w:spacing w:before="156" w:beforeLines="50" w:after="156" w:afterLines="50"/>
        <w:ind w:firstLine="0" w:firstLineChars="0"/>
        <w:rPr>
          <w:rFonts w:ascii="黑体" w:hAnsi="黑体" w:eastAsia="黑体" w:cs="黑体"/>
          <w:szCs w:val="21"/>
        </w:rPr>
      </w:pPr>
      <w:r>
        <w:rPr>
          <w:rFonts w:hint="eastAsia" w:ascii="黑体" w:hAnsi="黑体" w:eastAsia="黑体" w:cs="黑体"/>
          <w:szCs w:val="21"/>
        </w:rPr>
        <w:t>6.2.3  托辊</w:t>
      </w:r>
    </w:p>
    <w:p>
      <w:pPr>
        <w:pStyle w:val="70"/>
        <w:jc w:val="left"/>
        <w:rPr>
          <w:rFonts w:hAnsi="宋体" w:cs="宋体"/>
          <w:szCs w:val="21"/>
        </w:rPr>
      </w:pPr>
      <w:r>
        <w:rPr>
          <w:rFonts w:hint="eastAsia" w:hAnsi="宋体" w:cs="宋体"/>
          <w:szCs w:val="21"/>
        </w:rPr>
        <w:t>辊面相对于轴线的圆跳动公差</w:t>
      </w:r>
      <w:r>
        <w:rPr>
          <w:rFonts w:hint="eastAsia" w:hAnsi="宋体" w:cs="宋体"/>
          <w:szCs w:val="21"/>
          <w:lang w:val="en-US" w:eastAsia="zh-CN"/>
        </w:rPr>
        <w:t>应为</w:t>
      </w:r>
      <w:r>
        <w:rPr>
          <w:rFonts w:hint="eastAsia" w:hAnsi="宋体" w:cs="宋体"/>
          <w:szCs w:val="21"/>
        </w:rPr>
        <w:t>0</w:t>
      </w:r>
      <w:r>
        <w:rPr>
          <w:rFonts w:hAnsi="宋体" w:cs="宋体"/>
          <w:szCs w:val="21"/>
        </w:rPr>
        <w:t>.05</w:t>
      </w:r>
      <w:r>
        <w:rPr>
          <w:rFonts w:hint="eastAsia" w:hAnsi="宋体" w:cs="宋体"/>
          <w:szCs w:val="21"/>
        </w:rPr>
        <w:t>mm。</w:t>
      </w:r>
    </w:p>
    <w:p>
      <w:pPr>
        <w:spacing w:before="240" w:after="240"/>
        <w:outlineLvl w:val="1"/>
        <w:rPr>
          <w:rFonts w:ascii="黑体" w:hAnsi="黑体" w:eastAsia="黑体" w:cs="Arial"/>
        </w:rPr>
      </w:pPr>
      <w:bookmarkStart w:id="137" w:name="_Toc321808251"/>
      <w:bookmarkEnd w:id="137"/>
      <w:bookmarkStart w:id="138" w:name="_Toc320607631"/>
      <w:bookmarkStart w:id="139" w:name="_Toc320608264"/>
      <w:bookmarkStart w:id="140" w:name="_Toc320606105"/>
      <w:bookmarkStart w:id="141" w:name="_Toc320608552"/>
      <w:bookmarkStart w:id="142" w:name="_Toc320607937"/>
      <w:bookmarkStart w:id="143" w:name="_Toc320605985"/>
      <w:bookmarkStart w:id="144" w:name="_Toc320605908"/>
      <w:bookmarkStart w:id="145" w:name="_Toc320608638"/>
      <w:bookmarkStart w:id="146" w:name="_Toc16774"/>
      <w:bookmarkStart w:id="147" w:name="_Toc320608735"/>
      <w:bookmarkStart w:id="148" w:name="_Toc320607321"/>
      <w:bookmarkStart w:id="149" w:name="_Toc322932420"/>
      <w:r>
        <w:rPr>
          <w:rFonts w:hint="eastAsia" w:ascii="黑体" w:hAnsi="黑体" w:eastAsia="黑体" w:cs="Arial"/>
        </w:rPr>
        <w:t xml:space="preserve">6.3  </w:t>
      </w:r>
      <w:r>
        <w:rPr>
          <w:rFonts w:ascii="黑体" w:hAnsi="黑体" w:eastAsia="黑体" w:cs="Arial"/>
        </w:rPr>
        <w:t>装配</w:t>
      </w:r>
      <w:r>
        <w:rPr>
          <w:rFonts w:hint="eastAsia" w:ascii="黑体" w:hAnsi="黑体" w:eastAsia="黑体" w:cs="Arial"/>
        </w:rPr>
        <w:t>技术</w:t>
      </w:r>
      <w:r>
        <w:rPr>
          <w:rFonts w:ascii="黑体" w:hAnsi="黑体" w:eastAsia="黑体" w:cs="Arial"/>
        </w:rPr>
        <w:t>要求</w:t>
      </w:r>
      <w:bookmarkEnd w:id="138"/>
      <w:bookmarkEnd w:id="139"/>
      <w:bookmarkEnd w:id="140"/>
      <w:bookmarkEnd w:id="141"/>
      <w:bookmarkEnd w:id="142"/>
      <w:bookmarkEnd w:id="143"/>
      <w:bookmarkEnd w:id="144"/>
      <w:bookmarkEnd w:id="145"/>
      <w:bookmarkEnd w:id="146"/>
      <w:bookmarkEnd w:id="147"/>
      <w:bookmarkEnd w:id="148"/>
      <w:bookmarkEnd w:id="149"/>
    </w:p>
    <w:p>
      <w:pPr>
        <w:pStyle w:val="70"/>
        <w:rPr>
          <w:rFonts w:hAnsi="宋体" w:cs="宋体"/>
          <w:szCs w:val="21"/>
        </w:rPr>
      </w:pPr>
      <w:r>
        <w:rPr>
          <w:rFonts w:hAnsi="宋体" w:cs="宋体"/>
          <w:szCs w:val="21"/>
        </w:rPr>
        <w:t xml:space="preserve"> </w:t>
      </w:r>
      <w:r>
        <w:rPr>
          <w:rFonts w:hint="eastAsia" w:hAnsi="宋体" w:cs="宋体"/>
          <w:szCs w:val="21"/>
        </w:rPr>
        <w:t>卧式活套零部件装配要求应符合表2的规定。</w:t>
      </w:r>
    </w:p>
    <w:p>
      <w:pPr>
        <w:pStyle w:val="70"/>
        <w:spacing w:before="156" w:beforeLines="50" w:after="156" w:afterLines="50"/>
        <w:ind w:firstLine="0" w:firstLineChars="0"/>
        <w:jc w:val="center"/>
        <w:rPr>
          <w:rFonts w:ascii="黑体" w:hAnsi="黑体" w:eastAsia="黑体" w:cs="黑体"/>
          <w:szCs w:val="21"/>
        </w:rPr>
      </w:pPr>
      <w:r>
        <w:rPr>
          <w:rFonts w:hint="eastAsia" w:ascii="黑体" w:hAnsi="黑体" w:eastAsia="黑体" w:cs="黑体"/>
          <w:szCs w:val="21"/>
        </w:rPr>
        <w:t>表2  装配技术要求</w:t>
      </w:r>
    </w:p>
    <w:tbl>
      <w:tblPr>
        <w:tblStyle w:val="41"/>
        <w:tblW w:w="8640" w:type="dxa"/>
        <w:tblInd w:w="4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4"/>
        <w:gridCol w:w="3452"/>
        <w:gridCol w:w="1814"/>
        <w:gridCol w:w="24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4366" w:type="dxa"/>
            <w:gridSpan w:val="2"/>
            <w:vAlign w:val="center"/>
          </w:tcPr>
          <w:p>
            <w:pPr>
              <w:pStyle w:val="70"/>
              <w:ind w:firstLine="0" w:firstLineChars="0"/>
              <w:jc w:val="center"/>
              <w:rPr>
                <w:sz w:val="18"/>
                <w:szCs w:val="18"/>
              </w:rPr>
            </w:pPr>
            <w:r>
              <w:rPr>
                <w:rFonts w:hint="eastAsia"/>
                <w:sz w:val="18"/>
                <w:szCs w:val="18"/>
              </w:rPr>
              <w:t>项目</w:t>
            </w:r>
          </w:p>
        </w:tc>
        <w:tc>
          <w:tcPr>
            <w:tcW w:w="1814" w:type="dxa"/>
            <w:vAlign w:val="center"/>
          </w:tcPr>
          <w:p>
            <w:pPr>
              <w:pStyle w:val="70"/>
              <w:ind w:firstLine="0" w:firstLineChars="0"/>
              <w:jc w:val="center"/>
              <w:rPr>
                <w:sz w:val="18"/>
                <w:szCs w:val="18"/>
              </w:rPr>
            </w:pPr>
            <w:r>
              <w:rPr>
                <w:rFonts w:hint="eastAsia" w:hAnsi="宋体"/>
                <w:sz w:val="18"/>
                <w:szCs w:val="18"/>
                <w:lang w:val="en-US" w:eastAsia="zh-CN"/>
              </w:rPr>
              <w:t xml:space="preserve">要求值  </w:t>
            </w:r>
            <w:r>
              <w:rPr>
                <w:rFonts w:hint="eastAsia" w:hAnsi="宋体"/>
                <w:sz w:val="18"/>
                <w:szCs w:val="18"/>
              </w:rPr>
              <w:t>mm</w:t>
            </w:r>
          </w:p>
        </w:tc>
        <w:tc>
          <w:tcPr>
            <w:tcW w:w="2460" w:type="dxa"/>
            <w:vAlign w:val="center"/>
          </w:tcPr>
          <w:p>
            <w:pPr>
              <w:pStyle w:val="70"/>
              <w:ind w:firstLine="0" w:firstLineChars="0"/>
              <w:jc w:val="center"/>
              <w:rPr>
                <w:sz w:val="18"/>
                <w:szCs w:val="18"/>
              </w:rPr>
            </w:pPr>
            <w:r>
              <w:rPr>
                <w:rFonts w:hint="eastAsia"/>
                <w:sz w:val="18"/>
                <w:szCs w:val="18"/>
              </w:rPr>
              <w:t>检测方法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14" w:type="dxa"/>
            <w:vMerge w:val="restart"/>
            <w:vAlign w:val="center"/>
          </w:tcPr>
          <w:p>
            <w:pPr>
              <w:pStyle w:val="70"/>
              <w:ind w:firstLine="0" w:firstLineChars="0"/>
              <w:jc w:val="center"/>
              <w:rPr>
                <w:sz w:val="18"/>
                <w:szCs w:val="18"/>
              </w:rPr>
            </w:pPr>
            <w:r>
              <w:rPr>
                <w:rFonts w:hint="eastAsia"/>
                <w:sz w:val="18"/>
                <w:szCs w:val="18"/>
              </w:rPr>
              <w:t>导轨</w:t>
            </w:r>
          </w:p>
        </w:tc>
        <w:tc>
          <w:tcPr>
            <w:tcW w:w="3452" w:type="dxa"/>
          </w:tcPr>
          <w:p>
            <w:pPr>
              <w:pStyle w:val="70"/>
              <w:ind w:firstLine="0" w:firstLineChars="0"/>
              <w:rPr>
                <w:rFonts w:hint="default" w:hAnsi="宋体" w:eastAsia="宋体" w:cs="宋体"/>
                <w:sz w:val="18"/>
                <w:szCs w:val="18"/>
                <w:lang w:val="en-US" w:eastAsia="zh-CN"/>
              </w:rPr>
            </w:pPr>
            <w:r>
              <w:rPr>
                <w:rFonts w:hint="eastAsia" w:hAnsi="宋体" w:cs="宋体"/>
                <w:sz w:val="18"/>
                <w:szCs w:val="18"/>
              </w:rPr>
              <w:t>轨面标高</w:t>
            </w:r>
            <w:r>
              <w:rPr>
                <w:rFonts w:hint="eastAsia" w:hAnsi="宋体" w:cs="宋体"/>
                <w:sz w:val="18"/>
                <w:szCs w:val="18"/>
                <w:lang w:val="en-US" w:eastAsia="zh-CN"/>
              </w:rPr>
              <w:t>极限偏差</w:t>
            </w:r>
          </w:p>
        </w:tc>
        <w:tc>
          <w:tcPr>
            <w:tcW w:w="1814" w:type="dxa"/>
            <w:vAlign w:val="center"/>
          </w:tcPr>
          <w:p>
            <w:pPr>
              <w:pStyle w:val="70"/>
              <w:ind w:firstLine="0" w:firstLineChars="0"/>
              <w:jc w:val="left"/>
              <w:rPr>
                <w:rFonts w:hAnsi="宋体" w:cs="宋体"/>
                <w:sz w:val="18"/>
                <w:szCs w:val="18"/>
              </w:rPr>
            </w:pPr>
            <w:r>
              <w:rPr>
                <w:rFonts w:hint="eastAsia" w:hAnsi="宋体" w:cs="宋体"/>
                <w:sz w:val="18"/>
                <w:szCs w:val="18"/>
              </w:rPr>
              <w:t>±0.5</w:t>
            </w:r>
          </w:p>
        </w:tc>
        <w:tc>
          <w:tcPr>
            <w:tcW w:w="2460" w:type="dxa"/>
          </w:tcPr>
          <w:p>
            <w:pPr>
              <w:pStyle w:val="70"/>
              <w:ind w:firstLine="0" w:firstLineChars="0"/>
              <w:rPr>
                <w:rFonts w:hAnsi="宋体" w:cs="宋体"/>
                <w:sz w:val="18"/>
                <w:szCs w:val="18"/>
              </w:rPr>
            </w:pPr>
            <w:r>
              <w:rPr>
                <w:rFonts w:hint="eastAsia" w:hAnsi="宋体" w:cs="宋体"/>
                <w:sz w:val="18"/>
                <w:szCs w:val="18"/>
              </w:rPr>
              <w:t>水准仪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2" w:hRule="atLeast"/>
        </w:trPr>
        <w:tc>
          <w:tcPr>
            <w:tcW w:w="914" w:type="dxa"/>
            <w:vMerge w:val="continue"/>
            <w:vAlign w:val="center"/>
          </w:tcPr>
          <w:p>
            <w:pPr>
              <w:pStyle w:val="70"/>
              <w:ind w:firstLine="0" w:firstLineChars="0"/>
              <w:jc w:val="center"/>
              <w:rPr>
                <w:sz w:val="18"/>
                <w:szCs w:val="18"/>
              </w:rPr>
            </w:pPr>
          </w:p>
        </w:tc>
        <w:tc>
          <w:tcPr>
            <w:tcW w:w="3452" w:type="dxa"/>
          </w:tcPr>
          <w:p>
            <w:pPr>
              <w:pStyle w:val="70"/>
              <w:ind w:firstLine="0" w:firstLineChars="0"/>
              <w:rPr>
                <w:rFonts w:hint="default" w:hAnsi="宋体" w:eastAsia="宋体" w:cs="宋体"/>
                <w:sz w:val="18"/>
                <w:szCs w:val="18"/>
                <w:lang w:val="en-US" w:eastAsia="zh-CN"/>
              </w:rPr>
            </w:pPr>
            <w:r>
              <w:rPr>
                <w:rFonts w:hint="eastAsia" w:hAnsi="宋体" w:cs="宋体"/>
                <w:sz w:val="18"/>
                <w:szCs w:val="18"/>
              </w:rPr>
              <w:t>同一横断面两轨道轨面高</w:t>
            </w:r>
            <w:r>
              <w:rPr>
                <w:rFonts w:hint="eastAsia" w:hAnsi="宋体" w:cs="宋体"/>
                <w:sz w:val="18"/>
                <w:szCs w:val="18"/>
                <w:lang w:val="en-US" w:eastAsia="zh-CN"/>
              </w:rPr>
              <w:t>度差</w:t>
            </w:r>
          </w:p>
        </w:tc>
        <w:tc>
          <w:tcPr>
            <w:tcW w:w="1814" w:type="dxa"/>
            <w:tcBorders/>
          </w:tcPr>
          <w:p>
            <w:pPr>
              <w:pStyle w:val="70"/>
              <w:ind w:firstLine="0" w:firstLineChars="0"/>
              <w:rPr>
                <w:rFonts w:hint="eastAsia" w:hAnsi="宋体" w:cs="宋体"/>
                <w:sz w:val="18"/>
                <w:szCs w:val="18"/>
              </w:rPr>
            </w:pPr>
            <w:r>
              <w:rPr>
                <w:rFonts w:hint="eastAsia" w:hAnsi="宋体" w:cs="宋体"/>
                <w:color w:val="000000"/>
                <w:sz w:val="18"/>
                <w:szCs w:val="18"/>
              </w:rPr>
              <w:t>≤</w:t>
            </w:r>
            <w:r>
              <w:rPr>
                <w:rFonts w:hint="eastAsia" w:hAnsi="宋体" w:cs="宋体"/>
                <w:sz w:val="18"/>
                <w:szCs w:val="18"/>
              </w:rPr>
              <w:t>0</w:t>
            </w:r>
            <w:r>
              <w:rPr>
                <w:rFonts w:hAnsi="宋体" w:cs="宋体"/>
                <w:sz w:val="18"/>
                <w:szCs w:val="18"/>
              </w:rPr>
              <w:t>.5</w:t>
            </w:r>
          </w:p>
        </w:tc>
        <w:tc>
          <w:tcPr>
            <w:tcW w:w="2460" w:type="dxa"/>
            <w:vAlign w:val="center"/>
          </w:tcPr>
          <w:p>
            <w:pPr>
              <w:pStyle w:val="70"/>
              <w:ind w:firstLine="0" w:firstLineChars="0"/>
              <w:jc w:val="both"/>
              <w:rPr>
                <w:rFonts w:hAnsi="宋体" w:cs="宋体"/>
                <w:sz w:val="18"/>
                <w:szCs w:val="18"/>
              </w:rPr>
            </w:pPr>
            <w:r>
              <w:rPr>
                <w:rFonts w:hint="eastAsia" w:hAnsi="宋体" w:cs="宋体"/>
                <w:sz w:val="18"/>
                <w:szCs w:val="18"/>
              </w:rPr>
              <w:t>水准仪</w:t>
            </w:r>
          </w:p>
        </w:tc>
      </w:tr>
    </w:tbl>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default" w:eastAsia="黑体"/>
          <w:lang w:val="en-US" w:eastAsia="zh-CN"/>
        </w:rPr>
      </w:pPr>
      <w:r>
        <w:rPr>
          <w:rFonts w:hint="eastAsia" w:ascii="黑体" w:hAnsi="黑体" w:eastAsia="黑体" w:cs="黑体"/>
          <w:szCs w:val="21"/>
        </w:rPr>
        <w:t>表2</w:t>
      </w:r>
      <w:r>
        <w:rPr>
          <w:rFonts w:hint="eastAsia" w:ascii="黑体" w:hAnsi="黑体" w:eastAsia="黑体" w:cs="黑体"/>
          <w:szCs w:val="21"/>
          <w:lang w:eastAsia="zh-CN"/>
        </w:rPr>
        <w:t>（</w:t>
      </w:r>
      <w:r>
        <w:rPr>
          <w:rFonts w:hint="eastAsia" w:ascii="黑体" w:hAnsi="黑体" w:eastAsia="黑体" w:cs="黑体"/>
          <w:szCs w:val="21"/>
          <w:lang w:val="en-US" w:eastAsia="zh-CN"/>
        </w:rPr>
        <w:t>续）</w:t>
      </w:r>
    </w:p>
    <w:tbl>
      <w:tblPr>
        <w:tblStyle w:val="41"/>
        <w:tblW w:w="8640" w:type="dxa"/>
        <w:tblInd w:w="4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4"/>
        <w:gridCol w:w="3452"/>
        <w:gridCol w:w="1814"/>
        <w:gridCol w:w="24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366" w:type="dxa"/>
            <w:gridSpan w:val="2"/>
            <w:vAlign w:val="center"/>
          </w:tcPr>
          <w:p>
            <w:pPr>
              <w:pStyle w:val="70"/>
              <w:ind w:firstLine="0" w:firstLineChars="0"/>
              <w:jc w:val="center"/>
              <w:rPr>
                <w:rFonts w:hint="eastAsia"/>
                <w:sz w:val="18"/>
                <w:szCs w:val="18"/>
              </w:rPr>
            </w:pPr>
            <w:r>
              <w:rPr>
                <w:rFonts w:hint="eastAsia"/>
                <w:sz w:val="18"/>
                <w:szCs w:val="18"/>
              </w:rPr>
              <w:t>项目</w:t>
            </w:r>
          </w:p>
        </w:tc>
        <w:tc>
          <w:tcPr>
            <w:tcW w:w="1814" w:type="dxa"/>
            <w:vAlign w:val="center"/>
          </w:tcPr>
          <w:p>
            <w:pPr>
              <w:pStyle w:val="70"/>
              <w:ind w:firstLine="0" w:firstLineChars="0"/>
              <w:jc w:val="center"/>
              <w:rPr>
                <w:rFonts w:hint="eastAsia" w:hAnsi="宋体" w:cs="宋体"/>
                <w:sz w:val="18"/>
                <w:szCs w:val="18"/>
              </w:rPr>
            </w:pPr>
            <w:r>
              <w:rPr>
                <w:rFonts w:hint="eastAsia" w:hAnsi="宋体"/>
                <w:sz w:val="18"/>
                <w:szCs w:val="18"/>
                <w:lang w:val="en-US" w:eastAsia="zh-CN"/>
              </w:rPr>
              <w:t xml:space="preserve">要求值  </w:t>
            </w:r>
            <w:r>
              <w:rPr>
                <w:rFonts w:hint="eastAsia" w:hAnsi="宋体"/>
                <w:sz w:val="18"/>
                <w:szCs w:val="18"/>
              </w:rPr>
              <w:t>mm</w:t>
            </w:r>
          </w:p>
        </w:tc>
        <w:tc>
          <w:tcPr>
            <w:tcW w:w="2460" w:type="dxa"/>
            <w:vAlign w:val="center"/>
          </w:tcPr>
          <w:p>
            <w:pPr>
              <w:pStyle w:val="70"/>
              <w:ind w:firstLine="0" w:firstLineChars="0"/>
              <w:jc w:val="center"/>
              <w:rPr>
                <w:rFonts w:hint="eastAsia"/>
                <w:sz w:val="18"/>
                <w:szCs w:val="18"/>
              </w:rPr>
            </w:pPr>
            <w:r>
              <w:rPr>
                <w:rFonts w:hint="eastAsia"/>
                <w:sz w:val="18"/>
                <w:szCs w:val="18"/>
              </w:rPr>
              <w:t>检测方法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14" w:type="dxa"/>
            <w:vMerge w:val="restart"/>
            <w:vAlign w:val="center"/>
          </w:tcPr>
          <w:p>
            <w:pPr>
              <w:pStyle w:val="70"/>
              <w:ind w:firstLine="0" w:firstLineChars="0"/>
              <w:jc w:val="center"/>
              <w:rPr>
                <w:rFonts w:hint="eastAsia" w:eastAsia="宋体"/>
                <w:sz w:val="18"/>
                <w:szCs w:val="18"/>
                <w:lang w:val="en-US" w:eastAsia="zh-CN"/>
              </w:rPr>
            </w:pPr>
            <w:r>
              <w:rPr>
                <w:rFonts w:hint="eastAsia"/>
                <w:sz w:val="18"/>
                <w:szCs w:val="18"/>
                <w:lang w:val="en-US" w:eastAsia="zh-CN"/>
              </w:rPr>
              <w:t>导轨</w:t>
            </w:r>
          </w:p>
        </w:tc>
        <w:tc>
          <w:tcPr>
            <w:tcW w:w="3452" w:type="dxa"/>
          </w:tcPr>
          <w:p>
            <w:pPr>
              <w:pStyle w:val="70"/>
              <w:ind w:firstLine="0" w:firstLineChars="0"/>
              <w:rPr>
                <w:sz w:val="18"/>
                <w:szCs w:val="18"/>
              </w:rPr>
            </w:pPr>
            <w:r>
              <w:rPr>
                <w:rFonts w:hint="eastAsia"/>
                <w:sz w:val="18"/>
                <w:szCs w:val="18"/>
              </w:rPr>
              <w:t>基准轨中心线公差</w:t>
            </w:r>
          </w:p>
        </w:tc>
        <w:tc>
          <w:tcPr>
            <w:tcW w:w="1814" w:type="dxa"/>
          </w:tcPr>
          <w:p>
            <w:pPr>
              <w:pStyle w:val="70"/>
              <w:ind w:firstLine="0" w:firstLineChars="0"/>
              <w:rPr>
                <w:rFonts w:hAnsi="宋体" w:cs="宋体"/>
                <w:sz w:val="18"/>
                <w:szCs w:val="18"/>
              </w:rPr>
            </w:pPr>
            <w:r>
              <w:rPr>
                <w:rFonts w:hint="eastAsia" w:hAnsi="宋体" w:cs="宋体"/>
                <w:sz w:val="18"/>
                <w:szCs w:val="18"/>
              </w:rPr>
              <w:t>0.5</w:t>
            </w:r>
          </w:p>
        </w:tc>
        <w:tc>
          <w:tcPr>
            <w:tcW w:w="2460" w:type="dxa"/>
          </w:tcPr>
          <w:p>
            <w:pPr>
              <w:pStyle w:val="70"/>
              <w:ind w:firstLine="0" w:firstLineChars="0"/>
              <w:rPr>
                <w:sz w:val="18"/>
                <w:szCs w:val="18"/>
              </w:rPr>
            </w:pPr>
            <w:r>
              <w:rPr>
                <w:rFonts w:hint="eastAsia"/>
                <w:sz w:val="18"/>
                <w:szCs w:val="18"/>
              </w:rPr>
              <w:t>拉钢丝、吊线锤、钢尺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trPr>
        <w:tc>
          <w:tcPr>
            <w:tcW w:w="914" w:type="dxa"/>
            <w:vMerge w:val="continue"/>
            <w:vAlign w:val="center"/>
          </w:tcPr>
          <w:p>
            <w:pPr>
              <w:pStyle w:val="70"/>
              <w:ind w:firstLine="0" w:firstLineChars="0"/>
              <w:jc w:val="center"/>
              <w:rPr>
                <w:sz w:val="18"/>
                <w:szCs w:val="18"/>
              </w:rPr>
            </w:pPr>
          </w:p>
        </w:tc>
        <w:tc>
          <w:tcPr>
            <w:tcW w:w="3452" w:type="dxa"/>
          </w:tcPr>
          <w:p>
            <w:pPr>
              <w:pStyle w:val="70"/>
              <w:ind w:firstLine="0" w:firstLineChars="0"/>
              <w:rPr>
                <w:sz w:val="18"/>
                <w:szCs w:val="18"/>
              </w:rPr>
            </w:pPr>
            <w:r>
              <w:rPr>
                <w:rFonts w:hint="eastAsia"/>
                <w:sz w:val="18"/>
                <w:szCs w:val="18"/>
              </w:rPr>
              <w:t>非基准轨中心线公差</w:t>
            </w:r>
          </w:p>
        </w:tc>
        <w:tc>
          <w:tcPr>
            <w:tcW w:w="1814" w:type="dxa"/>
          </w:tcPr>
          <w:p>
            <w:pPr>
              <w:pStyle w:val="70"/>
              <w:ind w:firstLine="0" w:firstLineChars="0"/>
              <w:rPr>
                <w:rFonts w:hAnsi="宋体" w:cs="宋体"/>
                <w:sz w:val="18"/>
                <w:szCs w:val="18"/>
              </w:rPr>
            </w:pPr>
            <w:r>
              <w:rPr>
                <w:rFonts w:hint="eastAsia" w:hAnsi="宋体" w:cs="宋体"/>
                <w:sz w:val="18"/>
                <w:szCs w:val="18"/>
              </w:rPr>
              <w:t>1.0</w:t>
            </w:r>
          </w:p>
        </w:tc>
        <w:tc>
          <w:tcPr>
            <w:tcW w:w="2460" w:type="dxa"/>
          </w:tcPr>
          <w:p>
            <w:pPr>
              <w:pStyle w:val="70"/>
              <w:ind w:firstLine="0" w:firstLineChars="0"/>
              <w:rPr>
                <w:sz w:val="18"/>
                <w:szCs w:val="18"/>
              </w:rPr>
            </w:pPr>
            <w:r>
              <w:rPr>
                <w:rFonts w:hint="eastAsia"/>
                <w:sz w:val="18"/>
                <w:szCs w:val="18"/>
              </w:rPr>
              <w:t>拉钢丝、吊线锤、钢尺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atLeast"/>
        </w:trPr>
        <w:tc>
          <w:tcPr>
            <w:tcW w:w="914" w:type="dxa"/>
            <w:vMerge w:val="continue"/>
            <w:vAlign w:val="center"/>
          </w:tcPr>
          <w:p>
            <w:pPr>
              <w:pStyle w:val="70"/>
              <w:ind w:firstLine="0" w:firstLineChars="0"/>
              <w:jc w:val="center"/>
              <w:rPr>
                <w:sz w:val="18"/>
                <w:szCs w:val="18"/>
              </w:rPr>
            </w:pPr>
          </w:p>
        </w:tc>
        <w:tc>
          <w:tcPr>
            <w:tcW w:w="3452" w:type="dxa"/>
            <w:vAlign w:val="center"/>
          </w:tcPr>
          <w:p>
            <w:pPr>
              <w:pStyle w:val="70"/>
              <w:ind w:firstLine="0" w:firstLineChars="0"/>
              <w:rPr>
                <w:sz w:val="18"/>
                <w:szCs w:val="18"/>
              </w:rPr>
            </w:pPr>
            <w:r>
              <w:rPr>
                <w:rFonts w:hint="eastAsia"/>
                <w:sz w:val="18"/>
                <w:szCs w:val="18"/>
              </w:rPr>
              <w:t>两侧轨道</w:t>
            </w:r>
            <w:r>
              <w:rPr>
                <w:rFonts w:hint="eastAsia"/>
                <w:sz w:val="18"/>
                <w:szCs w:val="18"/>
                <w:lang w:val="en-US" w:eastAsia="zh-CN"/>
              </w:rPr>
              <w:t>每1 000mm</w:t>
            </w:r>
            <w:r>
              <w:rPr>
                <w:rFonts w:hint="eastAsia"/>
                <w:sz w:val="18"/>
                <w:szCs w:val="18"/>
              </w:rPr>
              <w:t>平行度公差</w:t>
            </w:r>
          </w:p>
        </w:tc>
        <w:tc>
          <w:tcPr>
            <w:tcW w:w="1814" w:type="dxa"/>
            <w:vAlign w:val="center"/>
          </w:tcPr>
          <w:p>
            <w:pPr>
              <w:pStyle w:val="70"/>
              <w:ind w:firstLine="0" w:firstLineChars="0"/>
              <w:rPr>
                <w:rFonts w:hint="default" w:eastAsia="宋体"/>
                <w:sz w:val="18"/>
                <w:szCs w:val="18"/>
                <w:lang w:val="en-US" w:eastAsia="zh-CN"/>
              </w:rPr>
            </w:pPr>
            <w:r>
              <w:rPr>
                <w:rFonts w:hint="eastAsia" w:hAnsi="宋体" w:cs="宋体"/>
                <w:sz w:val="18"/>
                <w:szCs w:val="18"/>
              </w:rPr>
              <w:t>0</w:t>
            </w:r>
            <w:r>
              <w:rPr>
                <w:rFonts w:hAnsi="宋体" w:cs="宋体"/>
                <w:sz w:val="18"/>
                <w:szCs w:val="18"/>
              </w:rPr>
              <w:t>.5</w:t>
            </w:r>
          </w:p>
        </w:tc>
        <w:tc>
          <w:tcPr>
            <w:tcW w:w="2460" w:type="dxa"/>
            <w:vAlign w:val="center"/>
          </w:tcPr>
          <w:p>
            <w:pPr>
              <w:pStyle w:val="70"/>
              <w:ind w:firstLine="0" w:firstLineChars="0"/>
              <w:rPr>
                <w:sz w:val="18"/>
                <w:szCs w:val="18"/>
              </w:rPr>
            </w:pPr>
            <w:r>
              <w:rPr>
                <w:rFonts w:hint="eastAsia"/>
                <w:sz w:val="18"/>
                <w:szCs w:val="18"/>
              </w:rPr>
              <w:t>千分尺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atLeast"/>
        </w:trPr>
        <w:tc>
          <w:tcPr>
            <w:tcW w:w="914" w:type="dxa"/>
            <w:vMerge w:val="restart"/>
            <w:vAlign w:val="center"/>
          </w:tcPr>
          <w:p>
            <w:pPr>
              <w:pStyle w:val="70"/>
              <w:ind w:firstLine="0" w:firstLineChars="0"/>
              <w:jc w:val="center"/>
              <w:rPr>
                <w:sz w:val="18"/>
                <w:szCs w:val="18"/>
              </w:rPr>
            </w:pPr>
            <w:bookmarkStart w:id="150" w:name="_Toc320607323"/>
            <w:bookmarkStart w:id="151" w:name="_Toc320608736"/>
            <w:bookmarkStart w:id="152" w:name="_Toc320607938"/>
            <w:bookmarkStart w:id="153" w:name="_Toc320608553"/>
            <w:bookmarkStart w:id="154" w:name="_Toc320607632"/>
            <w:bookmarkStart w:id="155" w:name="_Toc322932433"/>
            <w:bookmarkStart w:id="156" w:name="_Toc320605910"/>
            <w:bookmarkStart w:id="157" w:name="_Toc320606106"/>
            <w:bookmarkStart w:id="158" w:name="_Toc329943265"/>
            <w:bookmarkStart w:id="159" w:name="_Toc320608265"/>
            <w:bookmarkStart w:id="160" w:name="_Toc320608639"/>
            <w:bookmarkStart w:id="161" w:name="_Toc320605987"/>
            <w:bookmarkStart w:id="162" w:name="_Toc320605913"/>
            <w:bookmarkStart w:id="163" w:name="_Toc301509925"/>
            <w:bookmarkStart w:id="164" w:name="_Toc312327595"/>
            <w:bookmarkStart w:id="165" w:name="_Toc312327901"/>
            <w:bookmarkStart w:id="166" w:name="_Toc312316357"/>
            <w:bookmarkStart w:id="167" w:name="_Toc312327661"/>
            <w:bookmarkStart w:id="168" w:name="_Toc305078758"/>
            <w:bookmarkStart w:id="169" w:name="_Toc312679297"/>
            <w:bookmarkStart w:id="170" w:name="_Toc305135572"/>
            <w:bookmarkStart w:id="171" w:name="_Toc305135537"/>
            <w:bookmarkStart w:id="172" w:name="_Toc320606109"/>
            <w:bookmarkStart w:id="173" w:name="_Toc360707070"/>
            <w:bookmarkStart w:id="174" w:name="_Toc312315913"/>
            <w:bookmarkStart w:id="175" w:name="_Toc301280287"/>
            <w:bookmarkStart w:id="176" w:name="_Toc312327703"/>
            <w:bookmarkStart w:id="177" w:name="_Toc301280253"/>
            <w:bookmarkStart w:id="178" w:name="_Toc312315880"/>
            <w:bookmarkStart w:id="179" w:name="_Toc314033324"/>
            <w:bookmarkStart w:id="180" w:name="_Toc320607635"/>
            <w:bookmarkStart w:id="181" w:name="_Toc320608642"/>
            <w:bookmarkStart w:id="182" w:name="_Toc322932443"/>
            <w:bookmarkStart w:id="183" w:name="_Toc312327818"/>
            <w:bookmarkStart w:id="184" w:name="_Toc305136074"/>
            <w:bookmarkStart w:id="185" w:name="_Toc312327748"/>
            <w:bookmarkStart w:id="186" w:name="_Toc320608268"/>
            <w:bookmarkStart w:id="187" w:name="_Toc305135480"/>
            <w:bookmarkStart w:id="188" w:name="_Toc320605990"/>
            <w:bookmarkStart w:id="189" w:name="_Toc320608556"/>
            <w:bookmarkStart w:id="190" w:name="_Toc305135995"/>
            <w:bookmarkStart w:id="191" w:name="_Toc320607326"/>
            <w:bookmarkStart w:id="192" w:name="_Toc306541903"/>
            <w:bookmarkStart w:id="193" w:name="_Toc320607941"/>
            <w:bookmarkStart w:id="194" w:name="_Toc320608739"/>
            <w:bookmarkStart w:id="195" w:name="_Toc301509854"/>
            <w:bookmarkStart w:id="196" w:name="_Toc305078727"/>
            <w:bookmarkStart w:id="197" w:name="_Toc313520962"/>
            <w:r>
              <w:rPr>
                <w:rFonts w:hint="eastAsia"/>
                <w:sz w:val="18"/>
                <w:szCs w:val="18"/>
              </w:rPr>
              <w:t>摆动门</w:t>
            </w:r>
          </w:p>
        </w:tc>
        <w:tc>
          <w:tcPr>
            <w:tcW w:w="3452" w:type="dxa"/>
            <w:vAlign w:val="center"/>
          </w:tcPr>
          <w:p>
            <w:pPr>
              <w:pStyle w:val="70"/>
              <w:ind w:firstLine="0" w:firstLineChars="0"/>
              <w:rPr>
                <w:sz w:val="18"/>
                <w:szCs w:val="18"/>
              </w:rPr>
            </w:pPr>
            <w:r>
              <w:rPr>
                <w:rFonts w:hint="eastAsia"/>
                <w:sz w:val="18"/>
                <w:szCs w:val="18"/>
              </w:rPr>
              <w:t>旋转轴的</w:t>
            </w:r>
            <w:r>
              <w:rPr>
                <w:rFonts w:hint="eastAsia"/>
                <w:sz w:val="18"/>
                <w:szCs w:val="18"/>
                <w:lang w:val="en-US" w:eastAsia="zh-CN"/>
              </w:rPr>
              <w:t>每1 000mm</w:t>
            </w:r>
            <w:r>
              <w:rPr>
                <w:rFonts w:hint="eastAsia"/>
                <w:sz w:val="18"/>
                <w:szCs w:val="18"/>
              </w:rPr>
              <w:t>垂直度公差</w:t>
            </w:r>
          </w:p>
        </w:tc>
        <w:tc>
          <w:tcPr>
            <w:tcW w:w="1814" w:type="dxa"/>
            <w:vAlign w:val="center"/>
          </w:tcPr>
          <w:p>
            <w:pPr>
              <w:pStyle w:val="70"/>
              <w:ind w:firstLine="0" w:firstLineChars="0"/>
              <w:rPr>
                <w:rFonts w:hAnsi="宋体" w:cs="宋体"/>
                <w:color w:val="000000"/>
                <w:sz w:val="18"/>
                <w:szCs w:val="18"/>
              </w:rPr>
            </w:pPr>
            <w:r>
              <w:rPr>
                <w:rFonts w:hint="eastAsia" w:hAnsi="宋体" w:cs="宋体"/>
                <w:color w:val="000000"/>
                <w:sz w:val="18"/>
                <w:szCs w:val="18"/>
              </w:rPr>
              <w:t>0.15</w:t>
            </w:r>
          </w:p>
        </w:tc>
        <w:tc>
          <w:tcPr>
            <w:tcW w:w="2460" w:type="dxa"/>
            <w:vAlign w:val="center"/>
          </w:tcPr>
          <w:p>
            <w:pPr>
              <w:pStyle w:val="70"/>
              <w:ind w:firstLine="0" w:firstLineChars="0"/>
              <w:rPr>
                <w:sz w:val="18"/>
                <w:szCs w:val="18"/>
              </w:rPr>
            </w:pPr>
            <w:r>
              <w:rPr>
                <w:rFonts w:hint="eastAsia"/>
                <w:sz w:val="18"/>
                <w:szCs w:val="18"/>
              </w:rPr>
              <w:t>吊线锤、钢尺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atLeast"/>
        </w:trPr>
        <w:tc>
          <w:tcPr>
            <w:tcW w:w="914" w:type="dxa"/>
            <w:vMerge w:val="continue"/>
            <w:vAlign w:val="center"/>
          </w:tcPr>
          <w:p>
            <w:pPr>
              <w:pStyle w:val="70"/>
              <w:ind w:firstLine="0" w:firstLineChars="0"/>
              <w:jc w:val="center"/>
              <w:rPr>
                <w:sz w:val="18"/>
                <w:szCs w:val="18"/>
              </w:rPr>
            </w:pPr>
          </w:p>
        </w:tc>
        <w:tc>
          <w:tcPr>
            <w:tcW w:w="3452" w:type="dxa"/>
            <w:vAlign w:val="center"/>
          </w:tcPr>
          <w:p>
            <w:pPr>
              <w:pStyle w:val="70"/>
              <w:ind w:firstLine="0" w:firstLineChars="0"/>
              <w:rPr>
                <w:sz w:val="18"/>
                <w:szCs w:val="18"/>
              </w:rPr>
            </w:pPr>
            <w:r>
              <w:rPr>
                <w:rFonts w:hint="eastAsia"/>
                <w:sz w:val="18"/>
                <w:szCs w:val="18"/>
              </w:rPr>
              <w:t>摆动门闭时，托辊上表面</w:t>
            </w:r>
            <w:r>
              <w:rPr>
                <w:rFonts w:hint="eastAsia"/>
                <w:sz w:val="18"/>
                <w:szCs w:val="18"/>
                <w:lang w:val="en-US" w:eastAsia="zh-CN"/>
              </w:rPr>
              <w:t>每1 000mm</w:t>
            </w:r>
            <w:r>
              <w:rPr>
                <w:rFonts w:hint="eastAsia"/>
                <w:sz w:val="18"/>
                <w:szCs w:val="18"/>
              </w:rPr>
              <w:t>水平度（内端不高于外端）公差</w:t>
            </w:r>
          </w:p>
        </w:tc>
        <w:tc>
          <w:tcPr>
            <w:tcW w:w="1814" w:type="dxa"/>
            <w:vAlign w:val="center"/>
          </w:tcPr>
          <w:p>
            <w:pPr>
              <w:pStyle w:val="70"/>
              <w:ind w:firstLine="0" w:firstLineChars="0"/>
              <w:rPr>
                <w:rFonts w:hAnsi="宋体" w:cs="宋体"/>
                <w:color w:val="000000"/>
                <w:sz w:val="18"/>
                <w:szCs w:val="18"/>
              </w:rPr>
            </w:pPr>
            <w:r>
              <w:rPr>
                <w:rFonts w:hint="eastAsia" w:hAnsi="宋体" w:cs="宋体"/>
                <w:color w:val="000000"/>
                <w:sz w:val="18"/>
                <w:szCs w:val="18"/>
              </w:rPr>
              <w:t>0.2</w:t>
            </w:r>
          </w:p>
        </w:tc>
        <w:tc>
          <w:tcPr>
            <w:tcW w:w="2460" w:type="dxa"/>
            <w:vAlign w:val="center"/>
          </w:tcPr>
          <w:p>
            <w:pPr>
              <w:pStyle w:val="70"/>
              <w:ind w:firstLine="0" w:firstLineChars="0"/>
              <w:rPr>
                <w:sz w:val="18"/>
                <w:szCs w:val="18"/>
              </w:rPr>
            </w:pPr>
            <w:r>
              <w:rPr>
                <w:rFonts w:hint="eastAsia"/>
                <w:sz w:val="18"/>
                <w:szCs w:val="18"/>
              </w:rPr>
              <w:t>水准仪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atLeast"/>
        </w:trPr>
        <w:tc>
          <w:tcPr>
            <w:tcW w:w="914" w:type="dxa"/>
            <w:vMerge w:val="continue"/>
            <w:vAlign w:val="center"/>
          </w:tcPr>
          <w:p>
            <w:pPr>
              <w:pStyle w:val="70"/>
              <w:ind w:firstLine="0" w:firstLineChars="0"/>
              <w:jc w:val="center"/>
              <w:rPr>
                <w:sz w:val="18"/>
                <w:szCs w:val="18"/>
              </w:rPr>
            </w:pPr>
          </w:p>
        </w:tc>
        <w:tc>
          <w:tcPr>
            <w:tcW w:w="3452" w:type="dxa"/>
            <w:vAlign w:val="center"/>
          </w:tcPr>
          <w:p>
            <w:pPr>
              <w:pStyle w:val="70"/>
              <w:ind w:firstLine="0" w:firstLineChars="0"/>
              <w:rPr>
                <w:rFonts w:hint="default" w:eastAsia="宋体"/>
                <w:sz w:val="18"/>
                <w:szCs w:val="18"/>
                <w:lang w:val="en-US" w:eastAsia="zh-CN"/>
              </w:rPr>
            </w:pPr>
            <w:r>
              <w:rPr>
                <w:rFonts w:hint="eastAsia"/>
                <w:sz w:val="18"/>
                <w:szCs w:val="18"/>
              </w:rPr>
              <w:t>摆动门闭时，左右侧托辊上表面高度</w:t>
            </w:r>
            <w:r>
              <w:rPr>
                <w:rFonts w:hint="eastAsia"/>
                <w:sz w:val="18"/>
                <w:szCs w:val="18"/>
                <w:lang w:val="en-US" w:eastAsia="zh-CN"/>
              </w:rPr>
              <w:t>极限偏差</w:t>
            </w:r>
          </w:p>
        </w:tc>
        <w:tc>
          <w:tcPr>
            <w:tcW w:w="1814" w:type="dxa"/>
            <w:vAlign w:val="center"/>
          </w:tcPr>
          <w:p>
            <w:pPr>
              <w:pStyle w:val="70"/>
              <w:ind w:firstLine="0" w:firstLineChars="0"/>
              <w:rPr>
                <w:rFonts w:hAnsi="宋体" w:cs="宋体"/>
                <w:color w:val="000000"/>
                <w:sz w:val="18"/>
                <w:szCs w:val="18"/>
              </w:rPr>
            </w:pPr>
            <w:r>
              <w:rPr>
                <w:rFonts w:hint="eastAsia" w:hAnsi="宋体" w:cs="宋体"/>
                <w:color w:val="000000"/>
                <w:sz w:val="18"/>
                <w:szCs w:val="18"/>
              </w:rPr>
              <w:t>±0.5</w:t>
            </w:r>
          </w:p>
        </w:tc>
        <w:tc>
          <w:tcPr>
            <w:tcW w:w="2460" w:type="dxa"/>
            <w:vAlign w:val="center"/>
          </w:tcPr>
          <w:p>
            <w:pPr>
              <w:pStyle w:val="70"/>
              <w:ind w:firstLine="0" w:firstLineChars="0"/>
              <w:rPr>
                <w:sz w:val="18"/>
                <w:szCs w:val="18"/>
              </w:rPr>
            </w:pPr>
            <w:r>
              <w:rPr>
                <w:rFonts w:hint="eastAsia"/>
                <w:sz w:val="18"/>
                <w:szCs w:val="18"/>
              </w:rPr>
              <w:t>钢尺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atLeast"/>
        </w:trPr>
        <w:tc>
          <w:tcPr>
            <w:tcW w:w="914" w:type="dxa"/>
            <w:vMerge w:val="restart"/>
            <w:vAlign w:val="center"/>
          </w:tcPr>
          <w:p>
            <w:pPr>
              <w:pStyle w:val="70"/>
              <w:ind w:firstLine="0" w:firstLineChars="0"/>
              <w:jc w:val="center"/>
              <w:rPr>
                <w:sz w:val="18"/>
                <w:szCs w:val="18"/>
              </w:rPr>
            </w:pPr>
            <w:r>
              <w:rPr>
                <w:rFonts w:hint="eastAsia"/>
                <w:sz w:val="18"/>
                <w:szCs w:val="18"/>
              </w:rPr>
              <w:t>活套车</w:t>
            </w:r>
          </w:p>
        </w:tc>
        <w:tc>
          <w:tcPr>
            <w:tcW w:w="3452" w:type="dxa"/>
            <w:vAlign w:val="center"/>
          </w:tcPr>
          <w:p>
            <w:pPr>
              <w:pStyle w:val="70"/>
              <w:ind w:firstLine="0" w:firstLineChars="0"/>
              <w:rPr>
                <w:sz w:val="18"/>
                <w:szCs w:val="18"/>
              </w:rPr>
            </w:pPr>
            <w:r>
              <w:rPr>
                <w:rFonts w:hint="eastAsia"/>
                <w:sz w:val="18"/>
                <w:szCs w:val="18"/>
              </w:rPr>
              <w:t>小车侧导轮与导轨的侧间隙</w:t>
            </w:r>
          </w:p>
        </w:tc>
        <w:tc>
          <w:tcPr>
            <w:tcW w:w="1814" w:type="dxa"/>
            <w:vAlign w:val="center"/>
          </w:tcPr>
          <w:p>
            <w:pPr>
              <w:pStyle w:val="70"/>
              <w:ind w:firstLine="0" w:firstLineChars="0"/>
              <w:rPr>
                <w:sz w:val="18"/>
                <w:szCs w:val="18"/>
              </w:rPr>
            </w:pPr>
            <w:r>
              <w:rPr>
                <w:rFonts w:hint="eastAsia" w:hAnsi="宋体" w:cs="宋体"/>
                <w:color w:val="000000"/>
                <w:sz w:val="18"/>
                <w:szCs w:val="18"/>
              </w:rPr>
              <w:t>≤</w:t>
            </w:r>
            <w:r>
              <w:rPr>
                <w:rFonts w:hAnsi="宋体" w:cs="宋体"/>
                <w:color w:val="000000"/>
                <w:sz w:val="18"/>
                <w:szCs w:val="18"/>
              </w:rPr>
              <w:t>1/</w:t>
            </w:r>
            <w:r>
              <w:rPr>
                <w:rFonts w:hint="eastAsia" w:hAnsi="宋体" w:cs="宋体"/>
                <w:color w:val="000000"/>
                <w:sz w:val="18"/>
                <w:szCs w:val="18"/>
              </w:rPr>
              <w:t>全长</w:t>
            </w:r>
          </w:p>
        </w:tc>
        <w:tc>
          <w:tcPr>
            <w:tcW w:w="2460" w:type="dxa"/>
            <w:vAlign w:val="center"/>
          </w:tcPr>
          <w:p>
            <w:pPr>
              <w:pStyle w:val="70"/>
              <w:ind w:firstLine="0" w:firstLineChars="0"/>
              <w:rPr>
                <w:sz w:val="18"/>
                <w:szCs w:val="18"/>
              </w:rPr>
            </w:pPr>
            <w:r>
              <w:rPr>
                <w:rFonts w:hint="eastAsia"/>
                <w:sz w:val="18"/>
                <w:szCs w:val="18"/>
              </w:rPr>
              <w:t>塞尺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atLeast"/>
        </w:trPr>
        <w:tc>
          <w:tcPr>
            <w:tcW w:w="914" w:type="dxa"/>
            <w:vMerge w:val="continue"/>
            <w:vAlign w:val="center"/>
          </w:tcPr>
          <w:p>
            <w:pPr>
              <w:pStyle w:val="70"/>
              <w:ind w:firstLine="0" w:firstLineChars="0"/>
              <w:jc w:val="center"/>
              <w:rPr>
                <w:sz w:val="18"/>
                <w:szCs w:val="18"/>
              </w:rPr>
            </w:pPr>
          </w:p>
        </w:tc>
        <w:tc>
          <w:tcPr>
            <w:tcW w:w="3452" w:type="dxa"/>
            <w:vAlign w:val="center"/>
          </w:tcPr>
          <w:p>
            <w:pPr>
              <w:pStyle w:val="70"/>
              <w:ind w:firstLine="0" w:firstLineChars="0"/>
              <w:rPr>
                <w:sz w:val="18"/>
                <w:szCs w:val="18"/>
              </w:rPr>
            </w:pPr>
            <w:r>
              <w:rPr>
                <w:rFonts w:hint="eastAsia"/>
                <w:sz w:val="18"/>
                <w:szCs w:val="18"/>
              </w:rPr>
              <w:t>活套车上转向辊轴向</w:t>
            </w:r>
            <w:r>
              <w:rPr>
                <w:rFonts w:hint="eastAsia"/>
                <w:sz w:val="18"/>
                <w:szCs w:val="18"/>
                <w:lang w:val="en-US" w:eastAsia="zh-CN"/>
              </w:rPr>
              <w:t>1 000mm</w:t>
            </w:r>
            <w:r>
              <w:rPr>
                <w:rFonts w:hint="eastAsia"/>
                <w:sz w:val="18"/>
                <w:szCs w:val="18"/>
              </w:rPr>
              <w:t>水平度公差</w:t>
            </w:r>
          </w:p>
        </w:tc>
        <w:tc>
          <w:tcPr>
            <w:tcW w:w="1814" w:type="dxa"/>
            <w:vAlign w:val="center"/>
          </w:tcPr>
          <w:p>
            <w:pPr>
              <w:pStyle w:val="70"/>
              <w:ind w:firstLine="0" w:firstLineChars="0"/>
              <w:rPr>
                <w:sz w:val="18"/>
                <w:szCs w:val="18"/>
              </w:rPr>
            </w:pPr>
            <w:r>
              <w:rPr>
                <w:sz w:val="18"/>
                <w:szCs w:val="18"/>
              </w:rPr>
              <w:t>0.2</w:t>
            </w:r>
          </w:p>
        </w:tc>
        <w:tc>
          <w:tcPr>
            <w:tcW w:w="2460" w:type="dxa"/>
            <w:vAlign w:val="center"/>
          </w:tcPr>
          <w:p>
            <w:pPr>
              <w:pStyle w:val="70"/>
              <w:ind w:firstLine="0" w:firstLineChars="0"/>
              <w:rPr>
                <w:sz w:val="18"/>
                <w:szCs w:val="18"/>
              </w:rPr>
            </w:pPr>
            <w:r>
              <w:rPr>
                <w:rFonts w:hint="eastAsia"/>
                <w:sz w:val="18"/>
                <w:szCs w:val="18"/>
              </w:rPr>
              <w:t>水准仪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atLeast"/>
        </w:trPr>
        <w:tc>
          <w:tcPr>
            <w:tcW w:w="914" w:type="dxa"/>
            <w:vMerge w:val="continue"/>
            <w:vAlign w:val="center"/>
          </w:tcPr>
          <w:p>
            <w:pPr>
              <w:pStyle w:val="70"/>
              <w:ind w:firstLine="0" w:firstLineChars="0"/>
              <w:jc w:val="center"/>
              <w:rPr>
                <w:sz w:val="18"/>
                <w:szCs w:val="18"/>
              </w:rPr>
            </w:pPr>
          </w:p>
        </w:tc>
        <w:tc>
          <w:tcPr>
            <w:tcW w:w="3452" w:type="dxa"/>
            <w:vAlign w:val="center"/>
          </w:tcPr>
          <w:p>
            <w:pPr>
              <w:pStyle w:val="70"/>
              <w:ind w:firstLine="0" w:firstLineChars="0"/>
              <w:rPr>
                <w:sz w:val="18"/>
                <w:szCs w:val="18"/>
              </w:rPr>
            </w:pPr>
            <w:r>
              <w:rPr>
                <w:rFonts w:hint="eastAsia"/>
                <w:sz w:val="18"/>
                <w:szCs w:val="18"/>
              </w:rPr>
              <w:t>转向辊与机组中心线</w:t>
            </w:r>
            <w:r>
              <w:rPr>
                <w:rFonts w:hint="eastAsia"/>
                <w:sz w:val="18"/>
                <w:szCs w:val="18"/>
                <w:lang w:val="en-US" w:eastAsia="zh-CN"/>
              </w:rPr>
              <w:t>1 000mm</w:t>
            </w:r>
            <w:r>
              <w:rPr>
                <w:rFonts w:hint="eastAsia"/>
                <w:sz w:val="18"/>
                <w:szCs w:val="18"/>
              </w:rPr>
              <w:t>垂直度公差</w:t>
            </w:r>
          </w:p>
        </w:tc>
        <w:tc>
          <w:tcPr>
            <w:tcW w:w="1814" w:type="dxa"/>
            <w:vAlign w:val="center"/>
          </w:tcPr>
          <w:p>
            <w:pPr>
              <w:pStyle w:val="70"/>
              <w:ind w:firstLine="0" w:firstLineChars="0"/>
              <w:rPr>
                <w:sz w:val="18"/>
                <w:szCs w:val="18"/>
              </w:rPr>
            </w:pPr>
            <w:r>
              <w:rPr>
                <w:sz w:val="18"/>
                <w:szCs w:val="18"/>
              </w:rPr>
              <w:t>0.</w:t>
            </w:r>
            <w:r>
              <w:rPr>
                <w:rFonts w:hint="eastAsia"/>
                <w:sz w:val="18"/>
                <w:szCs w:val="18"/>
              </w:rPr>
              <w:t>1</w:t>
            </w:r>
          </w:p>
        </w:tc>
        <w:tc>
          <w:tcPr>
            <w:tcW w:w="2460" w:type="dxa"/>
            <w:vAlign w:val="center"/>
          </w:tcPr>
          <w:p>
            <w:pPr>
              <w:pStyle w:val="70"/>
              <w:ind w:firstLine="0" w:firstLineChars="0"/>
              <w:rPr>
                <w:sz w:val="18"/>
                <w:szCs w:val="18"/>
              </w:rPr>
            </w:pPr>
            <w:r>
              <w:rPr>
                <w:rFonts w:hint="eastAsia"/>
                <w:sz w:val="18"/>
                <w:szCs w:val="18"/>
              </w:rPr>
              <w:t>偏摆仪</w:t>
            </w:r>
          </w:p>
        </w:tc>
      </w:tr>
    </w:tbl>
    <w:p>
      <w:pPr>
        <w:spacing w:before="240" w:after="240"/>
        <w:outlineLvl w:val="1"/>
        <w:rPr>
          <w:rFonts w:ascii="黑体" w:hAnsi="黑体" w:eastAsia="黑体" w:cs="Arial"/>
        </w:rPr>
      </w:pPr>
      <w:bookmarkStart w:id="198" w:name="_Toc19199"/>
      <w:r>
        <w:rPr>
          <w:rFonts w:hint="eastAsia" w:ascii="黑体" w:hAnsi="黑体" w:eastAsia="黑体" w:cs="Arial"/>
        </w:rPr>
        <w:t>6.4  润滑系统技术要求</w:t>
      </w:r>
      <w:bookmarkEnd w:id="150"/>
      <w:bookmarkEnd w:id="151"/>
      <w:bookmarkEnd w:id="152"/>
      <w:bookmarkEnd w:id="153"/>
      <w:bookmarkEnd w:id="154"/>
      <w:bookmarkEnd w:id="155"/>
      <w:bookmarkEnd w:id="156"/>
      <w:bookmarkEnd w:id="157"/>
      <w:bookmarkEnd w:id="158"/>
      <w:bookmarkEnd w:id="159"/>
      <w:bookmarkEnd w:id="160"/>
      <w:bookmarkEnd w:id="161"/>
      <w:bookmarkEnd w:id="198"/>
    </w:p>
    <w:p>
      <w:pPr>
        <w:pStyle w:val="70"/>
        <w:rPr>
          <w:rFonts w:hAnsi="宋体" w:cs="宋体"/>
          <w:szCs w:val="21"/>
        </w:rPr>
      </w:pPr>
      <w:r>
        <w:rPr>
          <w:rFonts w:hint="eastAsia" w:hAnsi="宋体" w:cs="宋体"/>
          <w:szCs w:val="21"/>
        </w:rPr>
        <w:t>润滑系统应符合JB/T</w:t>
      </w:r>
      <w:r>
        <w:rPr>
          <w:rFonts w:hAnsi="宋体" w:cs="宋体"/>
          <w:szCs w:val="21"/>
        </w:rPr>
        <w:t xml:space="preserve"> </w:t>
      </w:r>
      <w:r>
        <w:rPr>
          <w:rFonts w:hint="eastAsia" w:hAnsi="宋体" w:cs="宋体"/>
          <w:szCs w:val="21"/>
        </w:rPr>
        <w:t>7943.1、JB/T</w:t>
      </w:r>
      <w:r>
        <w:rPr>
          <w:rFonts w:hAnsi="宋体" w:cs="宋体"/>
          <w:szCs w:val="21"/>
        </w:rPr>
        <w:t xml:space="preserve"> </w:t>
      </w:r>
      <w:r>
        <w:rPr>
          <w:rFonts w:hint="eastAsia" w:hAnsi="宋体" w:cs="宋体"/>
          <w:szCs w:val="21"/>
        </w:rPr>
        <w:t>7943.2的规定，宜采用集中干油润滑，不便于集中干油润滑的润滑点可采用分散润滑，分散润滑点应设置润滑点标识。</w:t>
      </w:r>
    </w:p>
    <w:p>
      <w:pPr>
        <w:pStyle w:val="70"/>
        <w:spacing w:before="156" w:beforeLines="50" w:after="156" w:afterLines="50"/>
        <w:ind w:firstLine="0" w:firstLineChars="0"/>
        <w:outlineLvl w:val="1"/>
        <w:rPr>
          <w:rFonts w:ascii="黑体" w:hAnsi="黑体" w:eastAsia="黑体" w:cs="Arial"/>
        </w:rPr>
      </w:pPr>
      <w:bookmarkStart w:id="199" w:name="_Toc29591"/>
      <w:r>
        <w:rPr>
          <w:rFonts w:hint="eastAsia" w:ascii="黑体" w:hAnsi="黑体" w:eastAsia="黑体" w:cs="Arial"/>
        </w:rPr>
        <w:t>6</w:t>
      </w:r>
      <w:r>
        <w:rPr>
          <w:rFonts w:ascii="黑体" w:hAnsi="黑体" w:eastAsia="黑体" w:cs="Arial"/>
        </w:rPr>
        <w:t xml:space="preserve">.5  </w:t>
      </w:r>
      <w:r>
        <w:rPr>
          <w:rFonts w:hint="eastAsia" w:ascii="黑体" w:hAnsi="黑体" w:eastAsia="黑体" w:cs="Arial"/>
        </w:rPr>
        <w:t>电气控制系统</w:t>
      </w:r>
      <w:bookmarkEnd w:id="199"/>
    </w:p>
    <w:p>
      <w:pPr>
        <w:pStyle w:val="70"/>
        <w:rPr>
          <w:rFonts w:hAnsi="宋体" w:cs="宋体"/>
          <w:szCs w:val="21"/>
        </w:rPr>
      </w:pPr>
      <w:r>
        <w:rPr>
          <w:rFonts w:hint="eastAsia" w:hAnsi="宋体" w:cs="宋体"/>
          <w:szCs w:val="21"/>
        </w:rPr>
        <w:t>卧式活套选用的电机、传感器检测元件应符合GB</w:t>
      </w:r>
      <w:r>
        <w:rPr>
          <w:rFonts w:hAnsi="宋体" w:cs="宋体"/>
          <w:szCs w:val="21"/>
        </w:rPr>
        <w:t xml:space="preserve"> </w:t>
      </w:r>
      <w:r>
        <w:rPr>
          <w:rFonts w:hint="eastAsia" w:hAnsi="宋体" w:cs="宋体"/>
          <w:szCs w:val="21"/>
        </w:rPr>
        <w:t>5226.1的规定。</w:t>
      </w:r>
    </w:p>
    <w:p>
      <w:pPr>
        <w:pStyle w:val="157"/>
        <w:numPr>
          <w:ilvl w:val="0"/>
          <w:numId w:val="19"/>
        </w:numPr>
        <w:outlineLvl w:val="0"/>
        <w:rPr>
          <w:color w:val="000000"/>
        </w:rPr>
      </w:pPr>
      <w:bookmarkStart w:id="200" w:name="_Toc140329326"/>
      <w:bookmarkStart w:id="201" w:name="_Toc1010"/>
      <w:r>
        <w:rPr>
          <w:rFonts w:hint="eastAsia"/>
          <w:color w:val="000000"/>
        </w:rPr>
        <w:t>试</w:t>
      </w:r>
      <w:bookmarkEnd w:id="200"/>
      <w:r>
        <w:rPr>
          <w:rFonts w:hint="eastAsia"/>
          <w:color w:val="000000"/>
        </w:rPr>
        <w:t>车</w:t>
      </w:r>
      <w:bookmarkEnd w:id="201"/>
    </w:p>
    <w:p>
      <w:pPr>
        <w:pStyle w:val="70"/>
        <w:spacing w:before="156" w:beforeLines="50" w:after="156" w:afterLines="50"/>
        <w:ind w:firstLine="0" w:firstLineChars="0"/>
        <w:outlineLvl w:val="1"/>
        <w:rPr>
          <w:rFonts w:ascii="黑体" w:hAnsi="黑体" w:eastAsia="黑体" w:cs="Arial"/>
        </w:rPr>
      </w:pPr>
      <w:bookmarkStart w:id="202" w:name="_Toc26860"/>
      <w:r>
        <w:rPr>
          <w:rFonts w:hint="eastAsia" w:ascii="黑体" w:hAnsi="黑体" w:eastAsia="黑体" w:cs="Arial"/>
        </w:rPr>
        <w:t>7.1  总体要求</w:t>
      </w:r>
      <w:bookmarkEnd w:id="202"/>
    </w:p>
    <w:p>
      <w:pPr>
        <w:pStyle w:val="70"/>
      </w:pPr>
      <w:r>
        <w:rPr>
          <w:rFonts w:hint="eastAsia"/>
        </w:rPr>
        <w:t>试车应编制试车大纲，试车分为空负荷试车和负荷试车。</w:t>
      </w:r>
    </w:p>
    <w:p>
      <w:pPr>
        <w:pStyle w:val="70"/>
        <w:spacing w:before="156" w:beforeLines="50" w:after="156" w:afterLines="50"/>
        <w:ind w:firstLine="0" w:firstLineChars="0"/>
        <w:outlineLvl w:val="1"/>
        <w:rPr>
          <w:rFonts w:ascii="黑体" w:hAnsi="黑体" w:eastAsia="黑体" w:cs="Arial"/>
        </w:rPr>
      </w:pPr>
      <w:bookmarkStart w:id="203" w:name="_Toc6802"/>
      <w:r>
        <w:rPr>
          <w:rFonts w:hint="eastAsia" w:ascii="黑体" w:hAnsi="黑体" w:eastAsia="黑体" w:cs="Arial"/>
        </w:rPr>
        <w:t>7.2  空负荷试车</w:t>
      </w:r>
      <w:bookmarkEnd w:id="203"/>
    </w:p>
    <w:p>
      <w:pPr>
        <w:pStyle w:val="70"/>
      </w:pPr>
      <w:r>
        <w:rPr>
          <w:rFonts w:hint="eastAsia"/>
        </w:rPr>
        <w:t>空负荷试车应按照试车大纲进行，包括但不限于下列项目：</w:t>
      </w:r>
      <w:r>
        <w:rPr>
          <w:rFonts w:hint="eastAsia"/>
        </w:rPr>
        <w:br w:type="textWrapping"/>
      </w:r>
      <w:r>
        <w:rPr>
          <w:rFonts w:hint="eastAsia"/>
        </w:rPr>
        <w:t xml:space="preserve">    ——减速机增减速试验，试验时间为无负载空转2h～</w:t>
      </w:r>
      <w:r>
        <w:t>4</w:t>
      </w:r>
      <w:r>
        <w:rPr>
          <w:rFonts w:hint="eastAsia"/>
        </w:rPr>
        <w:t>h，验证减速机工作振动情况及制动装置是否灵敏可靠；</w:t>
      </w:r>
    </w:p>
    <w:p>
      <w:pPr>
        <w:pStyle w:val="70"/>
      </w:pPr>
      <w:r>
        <w:rPr>
          <w:rFonts w:hint="eastAsia"/>
        </w:rPr>
        <w:t>——转向辊及托辊人工盘动；</w:t>
      </w:r>
    </w:p>
    <w:p>
      <w:pPr>
        <w:pStyle w:val="70"/>
      </w:pPr>
      <w:r>
        <w:rPr>
          <w:rFonts w:hint="eastAsia"/>
        </w:rPr>
        <w:t>——活套车在全行程内往返运行5～</w:t>
      </w:r>
      <w:r>
        <w:t>10</w:t>
      </w:r>
      <w:r>
        <w:rPr>
          <w:rFonts w:hint="eastAsia"/>
        </w:rPr>
        <w:t>次，并进行增减速试验、摆动门开闭试验（验证有无撞击现象），各限位开关动作试验（验证动作是否灵敏可靠）；</w:t>
      </w:r>
    </w:p>
    <w:p>
      <w:pPr>
        <w:pStyle w:val="70"/>
      </w:pPr>
      <w:r>
        <w:rPr>
          <w:rFonts w:hint="eastAsia"/>
        </w:rPr>
        <w:t>——液压系统耐压试验，试验压力为额定工作压力的1.25倍，保压时间不低于10min。</w:t>
      </w:r>
    </w:p>
    <w:p>
      <w:pPr>
        <w:pStyle w:val="70"/>
        <w:spacing w:before="156" w:beforeLines="50" w:after="156" w:afterLines="50"/>
        <w:ind w:firstLine="0" w:firstLineChars="0"/>
        <w:outlineLvl w:val="1"/>
        <w:rPr>
          <w:rFonts w:ascii="黑体" w:hAnsi="黑体" w:eastAsia="黑体" w:cs="Arial"/>
        </w:rPr>
      </w:pPr>
      <w:bookmarkStart w:id="204" w:name="_Toc15311"/>
      <w:r>
        <w:rPr>
          <w:rFonts w:hint="eastAsia" w:ascii="黑体" w:hAnsi="黑体" w:eastAsia="黑体" w:cs="Arial"/>
        </w:rPr>
        <w:t>7.3  负荷试车</w:t>
      </w:r>
      <w:bookmarkEnd w:id="204"/>
    </w:p>
    <w:p>
      <w:pPr>
        <w:pStyle w:val="70"/>
        <w:ind w:firstLine="0" w:firstLineChars="0"/>
      </w:pPr>
      <w:r>
        <w:rPr>
          <w:rFonts w:hint="eastAsia" w:ascii="黑体" w:hAnsi="黑体" w:eastAsia="黑体" w:cs="黑体"/>
        </w:rPr>
        <w:t>7.3.1</w:t>
      </w:r>
      <w:r>
        <w:rPr>
          <w:rFonts w:hint="eastAsia"/>
        </w:rPr>
        <w:t xml:space="preserve">  参加生产线的联动，连续操作运转3次。</w:t>
      </w:r>
    </w:p>
    <w:p>
      <w:pPr>
        <w:pStyle w:val="70"/>
        <w:ind w:firstLine="0" w:firstLineChars="0"/>
      </w:pPr>
      <w:r>
        <w:rPr>
          <w:rFonts w:hint="eastAsia" w:ascii="黑体" w:hAnsi="黑体" w:eastAsia="黑体" w:cs="黑体"/>
        </w:rPr>
        <w:t>7.3.2</w:t>
      </w:r>
      <w:r>
        <w:rPr>
          <w:rFonts w:hint="eastAsia"/>
        </w:rPr>
        <w:t xml:space="preserve">  进行极限品种带材运行张力控制及跑偏控制调试。</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bookmarkStart w:id="205" w:name="_GoBack"/>
      <w:bookmarkEnd w:id="205"/>
    </w:p>
    <w:p>
      <w:pPr>
        <w:pStyle w:val="198"/>
        <w:framePr w:wrap="around" w:vAnchor="text" w:hAnchor="page" w:x="4696" w:y="213"/>
      </w:pPr>
      <w:r>
        <w:t>________________________________</w:t>
      </w:r>
    </w:p>
    <w:p/>
    <w:p/>
    <w:p/>
    <w:sectPr>
      <w:type w:val="continuous"/>
      <w:pgSz w:w="11906" w:h="16838"/>
      <w:pgMar w:top="567" w:right="1134" w:bottom="1134" w:left="1418" w:header="1418" w:footer="1134" w:gutter="0"/>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MS Mincho">
    <w:altName w:val="Yu Gothic"/>
    <w:panose1 w:val="02020609040205080304"/>
    <w:charset w:val="80"/>
    <w:family w:val="modern"/>
    <w:pitch w:val="default"/>
    <w:sig w:usb0="00000000" w:usb1="00000000" w:usb2="08000012" w:usb3="00000000" w:csb0="0002009F" w:csb1="00000000"/>
  </w:font>
  <w:font w:name="Yu Gothic">
    <w:panose1 w:val="020B04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0"/>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160"/>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0"/>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0"/>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160"/>
                    </w:pPr>
                    <w:r>
                      <w:fldChar w:fldCharType="begin"/>
                    </w:r>
                    <w:r>
                      <w:instrText xml:space="preserve"> PAGE  \* MERGEFORMAT </w:instrText>
                    </w:r>
                    <w:r>
                      <w:fldChar w:fldCharType="separate"/>
                    </w:r>
                    <w:r>
                      <w:t>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4"/>
    </w:pPr>
    <w:r>
      <w:t>JB/T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8"/>
      <w:suff w:val="nothing"/>
      <w:lvlText w:val="%1%2.%3　"/>
      <w:lvlJc w:val="left"/>
      <w:pPr>
        <w:ind w:left="0" w:firstLine="0"/>
      </w:pPr>
      <w:rPr>
        <w:rFonts w:hint="eastAsia" w:ascii="黑体" w:hAnsi="Times New Roman" w:eastAsia="黑体"/>
        <w:b w:val="0"/>
        <w:i w:val="0"/>
        <w:sz w:val="21"/>
      </w:rPr>
    </w:lvl>
    <w:lvl w:ilvl="3" w:tentative="0">
      <w:start w:val="1"/>
      <w:numFmt w:val="decimal"/>
      <w:pStyle w:val="144"/>
      <w:suff w:val="nothing"/>
      <w:lvlText w:val="%1%2.%3.%4　"/>
      <w:lvlJc w:val="left"/>
      <w:pPr>
        <w:ind w:left="0" w:firstLine="0"/>
      </w:pPr>
      <w:rPr>
        <w:rFonts w:hint="eastAsia" w:ascii="黑体" w:hAnsi="Times New Roman" w:eastAsia="黑体"/>
        <w:b w:val="0"/>
        <w:i w:val="0"/>
        <w:sz w:val="21"/>
      </w:rPr>
    </w:lvl>
    <w:lvl w:ilvl="4" w:tentative="0">
      <w:start w:val="1"/>
      <w:numFmt w:val="decimal"/>
      <w:pStyle w:val="120"/>
      <w:suff w:val="nothing"/>
      <w:lvlText w:val="%1%2.%3.%4.%5　"/>
      <w:lvlJc w:val="left"/>
      <w:pPr>
        <w:ind w:left="0" w:firstLine="0"/>
      </w:pPr>
      <w:rPr>
        <w:rFonts w:hint="eastAsia" w:ascii="黑体" w:hAnsi="Times New Roman" w:eastAsia="黑体"/>
        <w:b w:val="0"/>
        <w:i w:val="0"/>
        <w:sz w:val="21"/>
      </w:rPr>
    </w:lvl>
    <w:lvl w:ilvl="5" w:tentative="0">
      <w:start w:val="1"/>
      <w:numFmt w:val="decimal"/>
      <w:pStyle w:val="167"/>
      <w:suff w:val="nothing"/>
      <w:lvlText w:val="%1%2.%3.%4.%5.%6　"/>
      <w:lvlJc w:val="left"/>
      <w:pPr>
        <w:ind w:left="0" w:firstLine="0"/>
      </w:pPr>
      <w:rPr>
        <w:rFonts w:hint="eastAsia" w:ascii="黑体" w:hAnsi="Times New Roman" w:eastAsia="黑体"/>
        <w:b w:val="0"/>
        <w:i w:val="0"/>
        <w:sz w:val="21"/>
      </w:rPr>
    </w:lvl>
    <w:lvl w:ilvl="6" w:tentative="0">
      <w:start w:val="1"/>
      <w:numFmt w:val="decimal"/>
      <w:pStyle w:val="13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79102AD"/>
    <w:multiLevelType w:val="multilevel"/>
    <w:tmpl w:val="079102AD"/>
    <w:lvl w:ilvl="0" w:tentative="0">
      <w:start w:val="1"/>
      <w:numFmt w:val="decimal"/>
      <w:pStyle w:val="11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19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2"/>
      <w:suff w:val="nothing"/>
      <w:lvlText w:val="%1示例："/>
      <w:lvlJc w:val="left"/>
      <w:pPr>
        <w:ind w:left="0" w:firstLine="363"/>
      </w:pPr>
      <w:rPr>
        <w:rFonts w:hint="eastAsia" w:ascii="黑体" w:eastAsia="黑体"/>
        <w:b w:val="0"/>
        <w:i w:val="0"/>
        <w:sz w:val="18"/>
        <w:szCs w:val="18"/>
      </w:rPr>
    </w:lvl>
    <w:lvl w:ilvl="1" w:tentative="0">
      <w:start w:val="1"/>
      <w:numFmt w:val="lowerLetter"/>
      <w:pStyle w:val="3"/>
      <w:lvlText w:val="%2)"/>
      <w:lvlJc w:val="left"/>
      <w:pPr>
        <w:tabs>
          <w:tab w:val="left" w:pos="363"/>
        </w:tabs>
        <w:ind w:left="0" w:firstLine="363"/>
      </w:pPr>
      <w:rPr>
        <w:rFonts w:hint="eastAsia"/>
      </w:rPr>
    </w:lvl>
    <w:lvl w:ilvl="2" w:tentative="0">
      <w:start w:val="1"/>
      <w:numFmt w:val="lowerRoman"/>
      <w:pStyle w:val="4"/>
      <w:lvlText w:val="%3."/>
      <w:lvlJc w:val="right"/>
      <w:pPr>
        <w:tabs>
          <w:tab w:val="left" w:pos="363"/>
        </w:tabs>
        <w:ind w:left="0" w:firstLine="363"/>
      </w:pPr>
      <w:rPr>
        <w:rFonts w:hint="eastAsia"/>
      </w:rPr>
    </w:lvl>
    <w:lvl w:ilvl="3" w:tentative="0">
      <w:start w:val="1"/>
      <w:numFmt w:val="decimal"/>
      <w:pStyle w:val="5"/>
      <w:lvlText w:val="%4."/>
      <w:lvlJc w:val="left"/>
      <w:pPr>
        <w:tabs>
          <w:tab w:val="left" w:pos="363"/>
        </w:tabs>
        <w:ind w:left="0" w:firstLine="363"/>
      </w:pPr>
      <w:rPr>
        <w:rFonts w:hint="eastAsia"/>
      </w:rPr>
    </w:lvl>
    <w:lvl w:ilvl="4" w:tentative="0">
      <w:start w:val="1"/>
      <w:numFmt w:val="lowerLetter"/>
      <w:pStyle w:val="6"/>
      <w:lvlText w:val="%5)"/>
      <w:lvlJc w:val="left"/>
      <w:pPr>
        <w:tabs>
          <w:tab w:val="left" w:pos="363"/>
        </w:tabs>
        <w:ind w:left="0" w:firstLine="363"/>
      </w:pPr>
      <w:rPr>
        <w:rFonts w:hint="eastAsia"/>
      </w:rPr>
    </w:lvl>
    <w:lvl w:ilvl="5" w:tentative="0">
      <w:start w:val="1"/>
      <w:numFmt w:val="lowerRoman"/>
      <w:pStyle w:val="7"/>
      <w:lvlText w:val="%6."/>
      <w:lvlJc w:val="right"/>
      <w:pPr>
        <w:tabs>
          <w:tab w:val="left" w:pos="363"/>
        </w:tabs>
        <w:ind w:left="0" w:firstLine="363"/>
      </w:pPr>
      <w:rPr>
        <w:rFonts w:hint="eastAsia"/>
      </w:rPr>
    </w:lvl>
    <w:lvl w:ilvl="6" w:tentative="0">
      <w:start w:val="1"/>
      <w:numFmt w:val="decimal"/>
      <w:pStyle w:val="8"/>
      <w:lvlText w:val="%7."/>
      <w:lvlJc w:val="left"/>
      <w:pPr>
        <w:tabs>
          <w:tab w:val="left" w:pos="363"/>
        </w:tabs>
        <w:ind w:left="0" w:firstLine="363"/>
      </w:pPr>
      <w:rPr>
        <w:rFonts w:hint="eastAsia"/>
      </w:rPr>
    </w:lvl>
    <w:lvl w:ilvl="7" w:tentative="0">
      <w:start w:val="1"/>
      <w:numFmt w:val="lowerLetter"/>
      <w:pStyle w:val="9"/>
      <w:lvlText w:val="%8)"/>
      <w:lvlJc w:val="left"/>
      <w:pPr>
        <w:tabs>
          <w:tab w:val="left" w:pos="363"/>
        </w:tabs>
        <w:ind w:left="0" w:firstLine="363"/>
      </w:pPr>
      <w:rPr>
        <w:rFonts w:hint="eastAsia"/>
      </w:rPr>
    </w:lvl>
    <w:lvl w:ilvl="8" w:tentative="0">
      <w:start w:val="1"/>
      <w:numFmt w:val="lowerRoman"/>
      <w:pStyle w:val="10"/>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61"/>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194"/>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142"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71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7">
    <w:nsid w:val="2A8F7113"/>
    <w:multiLevelType w:val="multilevel"/>
    <w:tmpl w:val="2A8F7113"/>
    <w:lvl w:ilvl="0" w:tentative="0">
      <w:start w:val="1"/>
      <w:numFmt w:val="upperLetter"/>
      <w:pStyle w:val="180"/>
      <w:suff w:val="space"/>
      <w:lvlText w:val="%1"/>
      <w:lvlJc w:val="left"/>
      <w:pPr>
        <w:ind w:left="623" w:hanging="425"/>
      </w:pPr>
      <w:rPr>
        <w:rFonts w:hint="eastAsia"/>
      </w:rPr>
    </w:lvl>
    <w:lvl w:ilvl="1" w:tentative="0">
      <w:start w:val="1"/>
      <w:numFmt w:val="decimal"/>
      <w:pStyle w:val="12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136"/>
      <w:suff w:val="nothing"/>
      <w:lvlText w:val="%1——"/>
      <w:lvlJc w:val="left"/>
      <w:pPr>
        <w:ind w:left="833" w:hanging="408"/>
      </w:pPr>
      <w:rPr>
        <w:rFonts w:hint="eastAsia"/>
      </w:rPr>
    </w:lvl>
    <w:lvl w:ilvl="1" w:tentative="0">
      <w:start w:val="1"/>
      <w:numFmt w:val="bullet"/>
      <w:pStyle w:val="181"/>
      <w:lvlText w:val=""/>
      <w:lvlJc w:val="left"/>
      <w:pPr>
        <w:tabs>
          <w:tab w:val="left" w:pos="760"/>
        </w:tabs>
        <w:ind w:left="1264" w:hanging="413"/>
      </w:pPr>
      <w:rPr>
        <w:rFonts w:hint="default" w:ascii="Symbol" w:hAnsi="Symbol"/>
        <w:color w:val="auto"/>
      </w:rPr>
    </w:lvl>
    <w:lvl w:ilvl="2" w:tentative="0">
      <w:start w:val="1"/>
      <w:numFmt w:val="bullet"/>
      <w:pStyle w:val="174"/>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tentative="0">
      <w:start w:val="1"/>
      <w:numFmt w:val="decimal"/>
      <w:pStyle w:val="3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pStyle w:val="13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8"/>
      <w:lvlText w:val="%2)"/>
      <w:lvlJc w:val="left"/>
      <w:pPr>
        <w:tabs>
          <w:tab w:val="left" w:pos="1260"/>
        </w:tabs>
        <w:ind w:left="1259" w:hanging="419"/>
      </w:pPr>
      <w:rPr>
        <w:rFonts w:hint="eastAsia"/>
      </w:rPr>
    </w:lvl>
    <w:lvl w:ilvl="2" w:tentative="0">
      <w:start w:val="1"/>
      <w:numFmt w:val="decimal"/>
      <w:pStyle w:val="190"/>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4B733A5F"/>
    <w:multiLevelType w:val="multilevel"/>
    <w:tmpl w:val="4B733A5F"/>
    <w:lvl w:ilvl="0" w:tentative="0">
      <w:start w:val="1"/>
      <w:numFmt w:val="decimal"/>
      <w:pStyle w:val="15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10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140"/>
      <w:lvlText w:val="%1"/>
      <w:lvlJc w:val="left"/>
      <w:pPr>
        <w:tabs>
          <w:tab w:val="left" w:pos="0"/>
        </w:tabs>
        <w:ind w:left="0" w:hanging="425"/>
      </w:pPr>
      <w:rPr>
        <w:rFonts w:hint="eastAsia"/>
      </w:rPr>
    </w:lvl>
    <w:lvl w:ilvl="1" w:tentative="0">
      <w:start w:val="1"/>
      <w:numFmt w:val="decimal"/>
      <w:pStyle w:val="147"/>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5E3659"/>
    <w:multiLevelType w:val="multilevel"/>
    <w:tmpl w:val="645E3659"/>
    <w:lvl w:ilvl="0" w:tentative="0">
      <w:start w:val="1"/>
      <w:numFmt w:val="decimal"/>
      <w:pStyle w:val="15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95"/>
      <w:suff w:val="nothing"/>
      <w:lvlText w:val="%1.%2　"/>
      <w:lvlJc w:val="left"/>
      <w:pPr>
        <w:ind w:left="156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94"/>
      <w:suff w:val="nothing"/>
      <w:lvlText w:val="%1.%2.%3　"/>
      <w:lvlJc w:val="left"/>
      <w:pPr>
        <w:ind w:left="284" w:firstLine="0"/>
      </w:pPr>
      <w:rPr>
        <w:rFonts w:hint="eastAsia" w:ascii="黑体" w:hAnsi="Times New Roman" w:eastAsia="黑体"/>
        <w:b w:val="0"/>
        <w:i w:val="0"/>
        <w:sz w:val="21"/>
      </w:rPr>
    </w:lvl>
    <w:lvl w:ilvl="3" w:tentative="0">
      <w:start w:val="1"/>
      <w:numFmt w:val="decimal"/>
      <w:pStyle w:val="93"/>
      <w:suff w:val="nothing"/>
      <w:lvlText w:val="%1.%2.%3.%4　"/>
      <w:lvlJc w:val="left"/>
      <w:pPr>
        <w:ind w:left="0" w:firstLine="0"/>
      </w:pPr>
      <w:rPr>
        <w:rFonts w:hint="eastAsia" w:ascii="黑体" w:hAnsi="Times New Roman" w:eastAsia="黑体"/>
        <w:b w:val="0"/>
        <w:i w:val="0"/>
        <w:sz w:val="21"/>
      </w:rPr>
    </w:lvl>
    <w:lvl w:ilvl="4" w:tentative="0">
      <w:start w:val="1"/>
      <w:numFmt w:val="decimal"/>
      <w:pStyle w:val="103"/>
      <w:suff w:val="nothing"/>
      <w:lvlText w:val="%1.%2.%3.%4.%5　"/>
      <w:lvlJc w:val="left"/>
      <w:pPr>
        <w:ind w:left="0" w:firstLine="0"/>
      </w:pPr>
      <w:rPr>
        <w:rFonts w:hint="eastAsia" w:ascii="黑体" w:hAnsi="Times New Roman" w:eastAsia="黑体"/>
        <w:b w:val="0"/>
        <w:i w:val="0"/>
        <w:sz w:val="21"/>
      </w:rPr>
    </w:lvl>
    <w:lvl w:ilvl="5" w:tentative="0">
      <w:start w:val="1"/>
      <w:numFmt w:val="decimal"/>
      <w:pStyle w:val="114"/>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46260FA"/>
    <w:multiLevelType w:val="multilevel"/>
    <w:tmpl w:val="646260FA"/>
    <w:lvl w:ilvl="0" w:tentative="0">
      <w:start w:val="1"/>
      <w:numFmt w:val="decimal"/>
      <w:pStyle w:val="139"/>
      <w:suff w:val="nothing"/>
      <w:lvlText w:val="表%1　"/>
      <w:lvlJc w:val="left"/>
      <w:pPr>
        <w:ind w:left="4305" w:firstLine="0"/>
      </w:pPr>
      <w:rPr>
        <w:rFonts w:hint="eastAsia" w:ascii="黑体" w:hAnsi="Times New Roman" w:eastAsia="黑体"/>
        <w:b w:val="0"/>
        <w:i w:val="0"/>
        <w:sz w:val="21"/>
      </w:rPr>
    </w:lvl>
    <w:lvl w:ilvl="1" w:tentative="0">
      <w:start w:val="1"/>
      <w:numFmt w:val="decimal"/>
      <w:lvlText w:val="%1.%2"/>
      <w:lvlJc w:val="left"/>
      <w:pPr>
        <w:tabs>
          <w:tab w:val="left" w:pos="5297"/>
        </w:tabs>
        <w:ind w:left="5297" w:hanging="567"/>
      </w:pPr>
      <w:rPr>
        <w:rFonts w:hint="eastAsia"/>
      </w:rPr>
    </w:lvl>
    <w:lvl w:ilvl="2" w:tentative="0">
      <w:start w:val="1"/>
      <w:numFmt w:val="decimal"/>
      <w:lvlText w:val="%1.%2.%3"/>
      <w:lvlJc w:val="left"/>
      <w:pPr>
        <w:tabs>
          <w:tab w:val="left" w:pos="5723"/>
        </w:tabs>
        <w:ind w:left="5723" w:hanging="567"/>
      </w:pPr>
      <w:rPr>
        <w:rFonts w:hint="eastAsia"/>
      </w:rPr>
    </w:lvl>
    <w:lvl w:ilvl="3" w:tentative="0">
      <w:start w:val="1"/>
      <w:numFmt w:val="decimal"/>
      <w:lvlText w:val="%1.%2.%3.%4"/>
      <w:lvlJc w:val="left"/>
      <w:pPr>
        <w:tabs>
          <w:tab w:val="left" w:pos="6289"/>
        </w:tabs>
        <w:ind w:left="6289" w:hanging="708"/>
      </w:pPr>
      <w:rPr>
        <w:rFonts w:hint="eastAsia"/>
      </w:rPr>
    </w:lvl>
    <w:lvl w:ilvl="4" w:tentative="0">
      <w:start w:val="1"/>
      <w:numFmt w:val="decimal"/>
      <w:lvlText w:val="%1.%2.%3.%4.%5"/>
      <w:lvlJc w:val="left"/>
      <w:pPr>
        <w:tabs>
          <w:tab w:val="left" w:pos="6856"/>
        </w:tabs>
        <w:ind w:left="6856" w:hanging="850"/>
      </w:pPr>
      <w:rPr>
        <w:rFonts w:hint="eastAsia"/>
      </w:rPr>
    </w:lvl>
    <w:lvl w:ilvl="5" w:tentative="0">
      <w:start w:val="1"/>
      <w:numFmt w:val="decimal"/>
      <w:lvlText w:val="%1.%2.%3.%4.%5.%6"/>
      <w:lvlJc w:val="left"/>
      <w:pPr>
        <w:tabs>
          <w:tab w:val="left" w:pos="7565"/>
        </w:tabs>
        <w:ind w:left="7565" w:hanging="1134"/>
      </w:pPr>
      <w:rPr>
        <w:rFonts w:hint="eastAsia"/>
      </w:rPr>
    </w:lvl>
    <w:lvl w:ilvl="6" w:tentative="0">
      <w:start w:val="1"/>
      <w:numFmt w:val="decimal"/>
      <w:lvlText w:val="%1.%2.%3.%4.%5.%6.%7"/>
      <w:lvlJc w:val="left"/>
      <w:pPr>
        <w:tabs>
          <w:tab w:val="left" w:pos="8132"/>
        </w:tabs>
        <w:ind w:left="8132" w:hanging="1276"/>
      </w:pPr>
      <w:rPr>
        <w:rFonts w:hint="eastAsia"/>
      </w:rPr>
    </w:lvl>
    <w:lvl w:ilvl="7" w:tentative="0">
      <w:start w:val="1"/>
      <w:numFmt w:val="decimal"/>
      <w:lvlText w:val="%1.%2.%3.%4.%5.%6.%7.%8"/>
      <w:lvlJc w:val="left"/>
      <w:pPr>
        <w:tabs>
          <w:tab w:val="left" w:pos="8699"/>
        </w:tabs>
        <w:ind w:left="8699" w:hanging="1418"/>
      </w:pPr>
      <w:rPr>
        <w:rFonts w:hint="eastAsia"/>
      </w:rPr>
    </w:lvl>
    <w:lvl w:ilvl="8" w:tentative="0">
      <w:start w:val="1"/>
      <w:numFmt w:val="decimal"/>
      <w:lvlText w:val="%1.%2.%3.%4.%5.%6.%7.%8.%9"/>
      <w:lvlJc w:val="left"/>
      <w:pPr>
        <w:tabs>
          <w:tab w:val="left" w:pos="9407"/>
        </w:tabs>
        <w:ind w:left="9407" w:hanging="1700"/>
      </w:pPr>
      <w:rPr>
        <w:rFonts w:hint="eastAsia"/>
      </w:rPr>
    </w:lvl>
  </w:abstractNum>
  <w:abstractNum w:abstractNumId="16">
    <w:nsid w:val="657D3FBC"/>
    <w:multiLevelType w:val="multilevel"/>
    <w:tmpl w:val="657D3FBC"/>
    <w:lvl w:ilvl="0" w:tentative="0">
      <w:start w:val="1"/>
      <w:numFmt w:val="upperLetter"/>
      <w:pStyle w:val="19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50"/>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49"/>
      <w:suff w:val="nothing"/>
      <w:lvlText w:val="%1.%2.%3　"/>
      <w:lvlJc w:val="left"/>
      <w:pPr>
        <w:ind w:left="0" w:firstLine="0"/>
      </w:pPr>
      <w:rPr>
        <w:rFonts w:hint="eastAsia" w:ascii="黑体" w:hAnsi="Times New Roman" w:eastAsia="黑体"/>
        <w:b w:val="0"/>
        <w:i w:val="0"/>
        <w:sz w:val="21"/>
      </w:rPr>
    </w:lvl>
    <w:lvl w:ilvl="3" w:tentative="0">
      <w:start w:val="1"/>
      <w:numFmt w:val="decimal"/>
      <w:pStyle w:val="107"/>
      <w:suff w:val="nothing"/>
      <w:lvlText w:val="%1.%2.%3.%4　"/>
      <w:lvlJc w:val="left"/>
      <w:pPr>
        <w:ind w:left="0" w:firstLine="0"/>
      </w:pPr>
      <w:rPr>
        <w:rFonts w:hint="eastAsia" w:ascii="黑体" w:hAnsi="Times New Roman" w:eastAsia="黑体"/>
        <w:b w:val="0"/>
        <w:i w:val="0"/>
        <w:sz w:val="21"/>
      </w:rPr>
    </w:lvl>
    <w:lvl w:ilvl="4" w:tentative="0">
      <w:start w:val="1"/>
      <w:numFmt w:val="decimal"/>
      <w:pStyle w:val="106"/>
      <w:suff w:val="nothing"/>
      <w:lvlText w:val="%1.%2.%3.%4.%5　"/>
      <w:lvlJc w:val="left"/>
      <w:pPr>
        <w:ind w:left="0" w:firstLine="0"/>
      </w:pPr>
      <w:rPr>
        <w:rFonts w:hint="eastAsia" w:ascii="黑体" w:hAnsi="Times New Roman" w:eastAsia="黑体"/>
        <w:b w:val="0"/>
        <w:i w:val="0"/>
        <w:sz w:val="21"/>
      </w:rPr>
    </w:lvl>
    <w:lvl w:ilvl="5" w:tentative="0">
      <w:start w:val="1"/>
      <w:numFmt w:val="decimal"/>
      <w:pStyle w:val="105"/>
      <w:suff w:val="nothing"/>
      <w:lvlText w:val="%1.%2.%3.%4.%5.%6　"/>
      <w:lvlJc w:val="left"/>
      <w:pPr>
        <w:ind w:left="0" w:firstLine="0"/>
      </w:pPr>
      <w:rPr>
        <w:rFonts w:hint="eastAsia" w:ascii="黑体" w:hAnsi="Times New Roman" w:eastAsia="黑体"/>
        <w:b w:val="0"/>
        <w:i w:val="0"/>
        <w:sz w:val="21"/>
      </w:rPr>
    </w:lvl>
    <w:lvl w:ilvl="6" w:tentative="0">
      <w:start w:val="1"/>
      <w:numFmt w:val="decimal"/>
      <w:pStyle w:val="10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16"/>
      <w:lvlText w:val="%1)"/>
      <w:lvlJc w:val="left"/>
      <w:pPr>
        <w:tabs>
          <w:tab w:val="left" w:pos="839"/>
        </w:tabs>
        <w:ind w:left="839" w:hanging="419"/>
      </w:pPr>
      <w:rPr>
        <w:rFonts w:hint="eastAsia" w:ascii="宋体" w:eastAsia="宋体"/>
        <w:b w:val="0"/>
        <w:i w:val="0"/>
        <w:sz w:val="21"/>
      </w:rPr>
    </w:lvl>
    <w:lvl w:ilvl="1" w:tentative="0">
      <w:start w:val="1"/>
      <w:numFmt w:val="decimal"/>
      <w:pStyle w:val="18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154"/>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3"/>
  </w:num>
  <w:num w:numId="2">
    <w:abstractNumId w:val="9"/>
  </w:num>
  <w:num w:numId="3">
    <w:abstractNumId w:val="14"/>
  </w:num>
  <w:num w:numId="4">
    <w:abstractNumId w:val="12"/>
  </w:num>
  <w:num w:numId="5">
    <w:abstractNumId w:val="16"/>
  </w:num>
  <w:num w:numId="6">
    <w:abstractNumId w:val="0"/>
  </w:num>
  <w:num w:numId="7">
    <w:abstractNumId w:val="17"/>
  </w:num>
  <w:num w:numId="8">
    <w:abstractNumId w:val="10"/>
  </w:num>
  <w:num w:numId="9">
    <w:abstractNumId w:val="1"/>
  </w:num>
  <w:num w:numId="10">
    <w:abstractNumId w:val="7"/>
  </w:num>
  <w:num w:numId="11">
    <w:abstractNumId w:val="8"/>
  </w:num>
  <w:num w:numId="12">
    <w:abstractNumId w:val="15"/>
  </w:num>
  <w:num w:numId="13">
    <w:abstractNumId w:val="13"/>
  </w:num>
  <w:num w:numId="14">
    <w:abstractNumId w:val="18"/>
  </w:num>
  <w:num w:numId="15">
    <w:abstractNumId w:val="11"/>
  </w:num>
  <w:num w:numId="16">
    <w:abstractNumId w:val="4"/>
  </w:num>
  <w:num w:numId="17">
    <w:abstractNumId w:val="5"/>
  </w:num>
  <w:num w:numId="18">
    <w:abstractNumId w:val="2"/>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yZDRlZDdhMDk1NWU0ZThkYTc0OTk3NzdlMTcxMzIifQ=="/>
  </w:docVars>
  <w:rsids>
    <w:rsidRoot w:val="000F673B"/>
    <w:rsid w:val="000F673B"/>
    <w:rsid w:val="003C29CB"/>
    <w:rsid w:val="00594EA5"/>
    <w:rsid w:val="00972C81"/>
    <w:rsid w:val="00E04BEC"/>
    <w:rsid w:val="00ED391E"/>
    <w:rsid w:val="086D33CA"/>
    <w:rsid w:val="14557870"/>
    <w:rsid w:val="16B9345A"/>
    <w:rsid w:val="17925305"/>
    <w:rsid w:val="1BA46FE1"/>
    <w:rsid w:val="227970E7"/>
    <w:rsid w:val="25D533C8"/>
    <w:rsid w:val="2AF31BD1"/>
    <w:rsid w:val="2D811081"/>
    <w:rsid w:val="33D738FD"/>
    <w:rsid w:val="3636619C"/>
    <w:rsid w:val="3B6C08EA"/>
    <w:rsid w:val="3D9F7B65"/>
    <w:rsid w:val="46B14C3C"/>
    <w:rsid w:val="48FF3E60"/>
    <w:rsid w:val="4A9C084A"/>
    <w:rsid w:val="533F3520"/>
    <w:rsid w:val="5E0A3374"/>
    <w:rsid w:val="62FD7AE6"/>
    <w:rsid w:val="6C3D55BD"/>
    <w:rsid w:val="6DD676DF"/>
    <w:rsid w:val="6FE45913"/>
    <w:rsid w:val="72032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0" w:semiHidden="0" w:name="annotation text"/>
    <w:lsdException w:qFormat="1" w:uiPriority="99" w:semiHidden="0" w:name="header"/>
    <w:lsdException w:qFormat="1" w:uiPriority="0"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99" w:semiHidden="0" w:name="annotation reference"/>
    <w:lsdException w:qFormat="1" w:uiPriority="99"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uiPriority="99" w:name="Normal (Web)"/>
    <w:lsdException w:qFormat="1" w:unhideWhenUsed="0" w:uiPriority="0"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qFormat="1" w:unhideWhenUsed="0" w:uiPriority="0"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5"/>
    <w:qFormat/>
    <w:uiPriority w:val="0"/>
    <w:pPr>
      <w:keepNext/>
      <w:numPr>
        <w:ilvl w:val="0"/>
        <w:numId w:val="1"/>
      </w:numPr>
      <w:tabs>
        <w:tab w:val="left" w:pos="432"/>
      </w:tabs>
      <w:snapToGrid w:val="0"/>
      <w:spacing w:line="360" w:lineRule="auto"/>
      <w:jc w:val="left"/>
      <w:outlineLvl w:val="0"/>
    </w:pPr>
    <w:rPr>
      <w:rFonts w:ascii="Arial" w:hAnsi="Arial" w:eastAsia="黑体" w:cs="Times New Roman"/>
      <w:color w:val="000000"/>
      <w:sz w:val="28"/>
      <w:szCs w:val="28"/>
    </w:rPr>
  </w:style>
  <w:style w:type="paragraph" w:styleId="3">
    <w:name w:val="heading 2"/>
    <w:basedOn w:val="1"/>
    <w:next w:val="1"/>
    <w:link w:val="56"/>
    <w:qFormat/>
    <w:uiPriority w:val="0"/>
    <w:pPr>
      <w:numPr>
        <w:ilvl w:val="1"/>
        <w:numId w:val="1"/>
      </w:numPr>
      <w:tabs>
        <w:tab w:val="left" w:pos="576"/>
      </w:tabs>
      <w:snapToGrid w:val="0"/>
      <w:spacing w:line="360" w:lineRule="auto"/>
      <w:jc w:val="left"/>
      <w:outlineLvl w:val="1"/>
    </w:pPr>
    <w:rPr>
      <w:rFonts w:ascii="Arial" w:hAnsi="Arial" w:eastAsia="黑体" w:cs="Times New Roman"/>
      <w:bCs/>
      <w:sz w:val="26"/>
      <w:szCs w:val="26"/>
    </w:rPr>
  </w:style>
  <w:style w:type="paragraph" w:styleId="4">
    <w:name w:val="heading 3"/>
    <w:basedOn w:val="1"/>
    <w:next w:val="1"/>
    <w:link w:val="57"/>
    <w:qFormat/>
    <w:uiPriority w:val="0"/>
    <w:pPr>
      <w:numPr>
        <w:ilvl w:val="2"/>
        <w:numId w:val="1"/>
      </w:numPr>
      <w:tabs>
        <w:tab w:val="left" w:pos="360"/>
        <w:tab w:val="left" w:pos="720"/>
        <w:tab w:val="clear" w:pos="363"/>
      </w:tabs>
      <w:snapToGrid w:val="0"/>
      <w:spacing w:line="360" w:lineRule="auto"/>
      <w:jc w:val="left"/>
      <w:outlineLvl w:val="2"/>
    </w:pPr>
    <w:rPr>
      <w:rFonts w:ascii="Arial" w:hAnsi="宋体" w:eastAsia="黑体" w:cs="Times New Roman"/>
      <w:bCs/>
      <w:sz w:val="25"/>
      <w:szCs w:val="25"/>
    </w:rPr>
  </w:style>
  <w:style w:type="paragraph" w:styleId="5">
    <w:name w:val="heading 4"/>
    <w:basedOn w:val="1"/>
    <w:next w:val="1"/>
    <w:link w:val="58"/>
    <w:qFormat/>
    <w:uiPriority w:val="0"/>
    <w:pPr>
      <w:keepNext/>
      <w:keepLines/>
      <w:numPr>
        <w:ilvl w:val="3"/>
        <w:numId w:val="1"/>
      </w:numPr>
      <w:tabs>
        <w:tab w:val="left" w:pos="540"/>
        <w:tab w:val="left" w:pos="864"/>
      </w:tabs>
      <w:autoSpaceDE w:val="0"/>
      <w:autoSpaceDN w:val="0"/>
      <w:snapToGrid w:val="0"/>
      <w:spacing w:line="360" w:lineRule="auto"/>
      <w:jc w:val="left"/>
      <w:textAlignment w:val="baseline"/>
      <w:outlineLvl w:val="3"/>
    </w:pPr>
    <w:rPr>
      <w:rFonts w:ascii="Arial" w:hAnsi="Arial" w:eastAsia="黑体" w:cs="Times New Roman"/>
      <w:position w:val="6"/>
      <w:sz w:val="25"/>
      <w:szCs w:val="25"/>
    </w:rPr>
  </w:style>
  <w:style w:type="paragraph" w:styleId="6">
    <w:name w:val="heading 5"/>
    <w:basedOn w:val="5"/>
    <w:next w:val="1"/>
    <w:link w:val="59"/>
    <w:qFormat/>
    <w:uiPriority w:val="0"/>
    <w:pPr>
      <w:numPr>
        <w:ilvl w:val="4"/>
      </w:numPr>
      <w:tabs>
        <w:tab w:val="left" w:pos="1008"/>
      </w:tabs>
      <w:ind w:right="210" w:rightChars="100"/>
      <w:outlineLvl w:val="4"/>
    </w:pPr>
    <w:rPr>
      <w:kern w:val="0"/>
    </w:rPr>
  </w:style>
  <w:style w:type="paragraph" w:styleId="7">
    <w:name w:val="heading 6"/>
    <w:basedOn w:val="1"/>
    <w:next w:val="1"/>
    <w:link w:val="60"/>
    <w:qFormat/>
    <w:uiPriority w:val="0"/>
    <w:pPr>
      <w:keepNext/>
      <w:keepLines/>
      <w:widowControl/>
      <w:numPr>
        <w:ilvl w:val="5"/>
        <w:numId w:val="1"/>
      </w:numPr>
      <w:tabs>
        <w:tab w:val="left" w:pos="1152"/>
      </w:tabs>
      <w:autoSpaceDE w:val="0"/>
      <w:autoSpaceDN w:val="0"/>
      <w:adjustRightInd w:val="0"/>
      <w:snapToGrid w:val="0"/>
      <w:spacing w:before="240" w:after="64" w:line="240" w:lineRule="atLeast"/>
      <w:ind w:right="-264"/>
      <w:jc w:val="left"/>
      <w:textAlignment w:val="baseline"/>
      <w:outlineLvl w:val="5"/>
    </w:pPr>
    <w:rPr>
      <w:rFonts w:ascii="Courier New" w:hAnsi="Courier New" w:eastAsia="黑体" w:cs="Times New Roman"/>
      <w:kern w:val="0"/>
      <w:sz w:val="28"/>
      <w:szCs w:val="28"/>
    </w:rPr>
  </w:style>
  <w:style w:type="paragraph" w:styleId="8">
    <w:name w:val="heading 7"/>
    <w:basedOn w:val="1"/>
    <w:next w:val="1"/>
    <w:link w:val="61"/>
    <w:qFormat/>
    <w:uiPriority w:val="0"/>
    <w:pPr>
      <w:keepNext/>
      <w:numPr>
        <w:ilvl w:val="6"/>
        <w:numId w:val="1"/>
      </w:numPr>
      <w:tabs>
        <w:tab w:val="left" w:pos="360"/>
        <w:tab w:val="left" w:pos="1296"/>
        <w:tab w:val="clear" w:pos="363"/>
      </w:tabs>
      <w:ind w:right="26"/>
      <w:outlineLvl w:val="6"/>
    </w:pPr>
    <w:rPr>
      <w:rFonts w:ascii="楷体_GB2312" w:hAnsi="Times New Roman" w:eastAsia="楷体_GB2312" w:cs="Times New Roman"/>
      <w:sz w:val="28"/>
      <w:szCs w:val="28"/>
    </w:rPr>
  </w:style>
  <w:style w:type="paragraph" w:styleId="9">
    <w:name w:val="heading 8"/>
    <w:basedOn w:val="1"/>
    <w:next w:val="1"/>
    <w:link w:val="62"/>
    <w:qFormat/>
    <w:uiPriority w:val="0"/>
    <w:pPr>
      <w:keepNext/>
      <w:keepLines/>
      <w:numPr>
        <w:ilvl w:val="7"/>
        <w:numId w:val="1"/>
      </w:numPr>
      <w:tabs>
        <w:tab w:val="left" w:pos="1440"/>
      </w:tabs>
      <w:spacing w:before="240" w:after="64" w:line="320" w:lineRule="auto"/>
      <w:outlineLvl w:val="7"/>
    </w:pPr>
    <w:rPr>
      <w:rFonts w:ascii="Arial" w:hAnsi="Arial" w:eastAsia="黑体" w:cs="Times New Roman"/>
      <w:sz w:val="24"/>
      <w:szCs w:val="24"/>
    </w:rPr>
  </w:style>
  <w:style w:type="paragraph" w:styleId="10">
    <w:name w:val="heading 9"/>
    <w:basedOn w:val="1"/>
    <w:next w:val="1"/>
    <w:link w:val="63"/>
    <w:qFormat/>
    <w:uiPriority w:val="0"/>
    <w:pPr>
      <w:keepNext/>
      <w:keepLines/>
      <w:numPr>
        <w:ilvl w:val="8"/>
        <w:numId w:val="1"/>
      </w:numPr>
      <w:tabs>
        <w:tab w:val="left" w:pos="1584"/>
      </w:tabs>
      <w:spacing w:before="240" w:after="64" w:line="320" w:lineRule="auto"/>
      <w:outlineLvl w:val="8"/>
    </w:pPr>
    <w:rPr>
      <w:rFonts w:ascii="Arial" w:hAnsi="Arial" w:eastAsia="黑体" w:cs="Times New Roman"/>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semiHidden/>
    <w:qFormat/>
    <w:uiPriority w:val="0"/>
    <w:pPr>
      <w:tabs>
        <w:tab w:val="right" w:leader="dot" w:pos="9241"/>
      </w:tabs>
      <w:ind w:firstLine="505" w:firstLineChars="500"/>
      <w:jc w:val="left"/>
    </w:pPr>
    <w:rPr>
      <w:rFonts w:ascii="宋体" w:hAnsi="Times New Roman" w:eastAsia="宋体" w:cs="Times New Roman"/>
      <w:szCs w:val="21"/>
    </w:rPr>
  </w:style>
  <w:style w:type="paragraph" w:styleId="12">
    <w:name w:val="index 8"/>
    <w:basedOn w:val="1"/>
    <w:next w:val="1"/>
    <w:semiHidden/>
    <w:qFormat/>
    <w:uiPriority w:val="0"/>
    <w:pPr>
      <w:ind w:left="1680" w:hanging="210"/>
      <w:jc w:val="left"/>
    </w:pPr>
    <w:rPr>
      <w:rFonts w:ascii="Calibri" w:hAnsi="Calibri" w:eastAsia="宋体" w:cs="Times New Roman"/>
      <w:sz w:val="20"/>
      <w:szCs w:val="20"/>
    </w:rPr>
  </w:style>
  <w:style w:type="paragraph" w:styleId="13">
    <w:name w:val="caption"/>
    <w:basedOn w:val="1"/>
    <w:next w:val="1"/>
    <w:qFormat/>
    <w:uiPriority w:val="0"/>
    <w:pPr>
      <w:spacing w:before="152" w:after="160"/>
    </w:pPr>
    <w:rPr>
      <w:rFonts w:ascii="Arial" w:hAnsi="Arial" w:eastAsia="黑体" w:cs="Arial"/>
      <w:sz w:val="20"/>
      <w:szCs w:val="20"/>
    </w:rPr>
  </w:style>
  <w:style w:type="paragraph" w:styleId="14">
    <w:name w:val="index 5"/>
    <w:basedOn w:val="1"/>
    <w:next w:val="1"/>
    <w:semiHidden/>
    <w:qFormat/>
    <w:uiPriority w:val="0"/>
    <w:pPr>
      <w:ind w:left="1050" w:hanging="210"/>
      <w:jc w:val="left"/>
    </w:pPr>
    <w:rPr>
      <w:rFonts w:ascii="Calibri" w:hAnsi="Calibri" w:eastAsia="宋体" w:cs="Times New Roman"/>
      <w:sz w:val="20"/>
      <w:szCs w:val="20"/>
    </w:rPr>
  </w:style>
  <w:style w:type="paragraph" w:styleId="15">
    <w:name w:val="Document Map"/>
    <w:basedOn w:val="1"/>
    <w:link w:val="64"/>
    <w:semiHidden/>
    <w:qFormat/>
    <w:uiPriority w:val="0"/>
    <w:pPr>
      <w:shd w:val="clear" w:color="auto" w:fill="000080"/>
    </w:pPr>
    <w:rPr>
      <w:rFonts w:ascii="Times New Roman" w:hAnsi="Times New Roman" w:eastAsia="宋体" w:cs="Times New Roman"/>
      <w:szCs w:val="24"/>
    </w:rPr>
  </w:style>
  <w:style w:type="paragraph" w:styleId="16">
    <w:name w:val="annotation text"/>
    <w:basedOn w:val="1"/>
    <w:link w:val="80"/>
    <w:unhideWhenUsed/>
    <w:qFormat/>
    <w:uiPriority w:val="0"/>
    <w:pPr>
      <w:jc w:val="left"/>
    </w:pPr>
    <w:rPr>
      <w:rFonts w:ascii="Times New Roman" w:hAnsi="Times New Roman" w:eastAsia="宋体" w:cs="Times New Roman"/>
      <w:szCs w:val="24"/>
    </w:rPr>
  </w:style>
  <w:style w:type="paragraph" w:styleId="17">
    <w:name w:val="index 6"/>
    <w:basedOn w:val="1"/>
    <w:next w:val="1"/>
    <w:semiHidden/>
    <w:qFormat/>
    <w:uiPriority w:val="0"/>
    <w:pPr>
      <w:ind w:left="1260" w:hanging="210"/>
      <w:jc w:val="left"/>
    </w:pPr>
    <w:rPr>
      <w:rFonts w:ascii="Calibri" w:hAnsi="Calibri" w:eastAsia="宋体" w:cs="Times New Roman"/>
      <w:sz w:val="20"/>
      <w:szCs w:val="20"/>
    </w:rPr>
  </w:style>
  <w:style w:type="paragraph" w:styleId="18">
    <w:name w:val="index 4"/>
    <w:basedOn w:val="1"/>
    <w:next w:val="1"/>
    <w:semiHidden/>
    <w:qFormat/>
    <w:uiPriority w:val="0"/>
    <w:pPr>
      <w:ind w:left="840" w:hanging="210"/>
      <w:jc w:val="left"/>
    </w:pPr>
    <w:rPr>
      <w:rFonts w:ascii="Calibri" w:hAnsi="Calibri" w:eastAsia="宋体" w:cs="Times New Roman"/>
      <w:sz w:val="20"/>
      <w:szCs w:val="20"/>
    </w:rPr>
  </w:style>
  <w:style w:type="paragraph" w:styleId="19">
    <w:name w:val="toc 5"/>
    <w:basedOn w:val="1"/>
    <w:next w:val="1"/>
    <w:semiHidden/>
    <w:qFormat/>
    <w:uiPriority w:val="0"/>
    <w:pPr>
      <w:tabs>
        <w:tab w:val="right" w:leader="dot" w:pos="9241"/>
      </w:tabs>
      <w:ind w:firstLine="300" w:firstLineChars="300"/>
      <w:jc w:val="left"/>
    </w:pPr>
    <w:rPr>
      <w:rFonts w:ascii="宋体" w:hAnsi="Times New Roman" w:eastAsia="宋体" w:cs="Times New Roman"/>
      <w:szCs w:val="21"/>
    </w:rPr>
  </w:style>
  <w:style w:type="paragraph" w:styleId="20">
    <w:name w:val="toc 3"/>
    <w:basedOn w:val="1"/>
    <w:next w:val="1"/>
    <w:qFormat/>
    <w:uiPriority w:val="39"/>
    <w:pPr>
      <w:tabs>
        <w:tab w:val="right" w:leader="dot" w:pos="9241"/>
      </w:tabs>
      <w:jc w:val="left"/>
    </w:pPr>
    <w:rPr>
      <w:rFonts w:ascii="宋体" w:hAnsi="Times New Roman" w:eastAsia="宋体" w:cs="Times New Roman"/>
      <w:szCs w:val="21"/>
    </w:rPr>
  </w:style>
  <w:style w:type="paragraph" w:styleId="21">
    <w:name w:val="Plain Text"/>
    <w:basedOn w:val="1"/>
    <w:link w:val="90"/>
    <w:qFormat/>
    <w:uiPriority w:val="0"/>
    <w:rPr>
      <w:rFonts w:ascii="宋体" w:hAnsi="Courier New" w:eastAsia="宋体" w:cs="Times New Roman"/>
      <w:szCs w:val="20"/>
    </w:rPr>
  </w:style>
  <w:style w:type="paragraph" w:styleId="22">
    <w:name w:val="toc 8"/>
    <w:basedOn w:val="1"/>
    <w:next w:val="1"/>
    <w:semiHidden/>
    <w:qFormat/>
    <w:uiPriority w:val="0"/>
    <w:pPr>
      <w:tabs>
        <w:tab w:val="right" w:leader="dot" w:pos="9241"/>
      </w:tabs>
      <w:ind w:firstLine="607" w:firstLineChars="600"/>
      <w:jc w:val="left"/>
    </w:pPr>
    <w:rPr>
      <w:rFonts w:ascii="宋体" w:hAnsi="Times New Roman" w:eastAsia="宋体" w:cs="Times New Roman"/>
      <w:szCs w:val="21"/>
    </w:rPr>
  </w:style>
  <w:style w:type="paragraph" w:styleId="23">
    <w:name w:val="index 3"/>
    <w:basedOn w:val="1"/>
    <w:next w:val="1"/>
    <w:semiHidden/>
    <w:qFormat/>
    <w:uiPriority w:val="0"/>
    <w:pPr>
      <w:ind w:left="630" w:hanging="210"/>
      <w:jc w:val="left"/>
    </w:pPr>
    <w:rPr>
      <w:rFonts w:ascii="Calibri" w:hAnsi="Calibri" w:eastAsia="宋体" w:cs="Times New Roman"/>
      <w:sz w:val="20"/>
      <w:szCs w:val="20"/>
    </w:rPr>
  </w:style>
  <w:style w:type="paragraph" w:styleId="24">
    <w:name w:val="Date"/>
    <w:basedOn w:val="1"/>
    <w:next w:val="1"/>
    <w:link w:val="81"/>
    <w:qFormat/>
    <w:uiPriority w:val="0"/>
    <w:pPr>
      <w:ind w:left="100" w:leftChars="2500"/>
    </w:pPr>
    <w:rPr>
      <w:rFonts w:ascii="Times New Roman" w:hAnsi="Times New Roman" w:eastAsia="宋体" w:cs="Times New Roman"/>
      <w:szCs w:val="24"/>
    </w:rPr>
  </w:style>
  <w:style w:type="paragraph" w:styleId="25">
    <w:name w:val="endnote text"/>
    <w:basedOn w:val="1"/>
    <w:link w:val="68"/>
    <w:semiHidden/>
    <w:qFormat/>
    <w:uiPriority w:val="0"/>
    <w:pPr>
      <w:snapToGrid w:val="0"/>
      <w:jc w:val="left"/>
    </w:pPr>
    <w:rPr>
      <w:rFonts w:ascii="Times New Roman" w:hAnsi="Times New Roman" w:eastAsia="宋体" w:cs="Times New Roman"/>
      <w:szCs w:val="24"/>
    </w:rPr>
  </w:style>
  <w:style w:type="paragraph" w:styleId="26">
    <w:name w:val="Balloon Text"/>
    <w:basedOn w:val="1"/>
    <w:link w:val="69"/>
    <w:qFormat/>
    <w:uiPriority w:val="99"/>
    <w:rPr>
      <w:rFonts w:ascii="Times New Roman" w:hAnsi="Times New Roman" w:eastAsia="宋体" w:cs="Times New Roman"/>
      <w:sz w:val="18"/>
      <w:szCs w:val="18"/>
    </w:rPr>
  </w:style>
  <w:style w:type="paragraph" w:styleId="27">
    <w:name w:val="footer"/>
    <w:basedOn w:val="1"/>
    <w:link w:val="54"/>
    <w:unhideWhenUsed/>
    <w:qFormat/>
    <w:uiPriority w:val="0"/>
    <w:pPr>
      <w:tabs>
        <w:tab w:val="center" w:pos="4153"/>
        <w:tab w:val="right" w:pos="8306"/>
      </w:tabs>
      <w:snapToGrid w:val="0"/>
      <w:jc w:val="left"/>
    </w:pPr>
    <w:rPr>
      <w:sz w:val="18"/>
      <w:szCs w:val="18"/>
    </w:rPr>
  </w:style>
  <w:style w:type="paragraph" w:styleId="28">
    <w:name w:val="header"/>
    <w:basedOn w:val="1"/>
    <w:link w:val="53"/>
    <w:unhideWhenUsed/>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tabs>
        <w:tab w:val="right" w:leader="dot" w:pos="9241"/>
      </w:tabs>
      <w:spacing w:before="25" w:beforeLines="25" w:after="25" w:afterLines="25"/>
      <w:jc w:val="left"/>
    </w:pPr>
    <w:rPr>
      <w:rFonts w:ascii="宋体" w:hAnsi="Times New Roman" w:eastAsia="宋体" w:cs="Times New Roman"/>
      <w:szCs w:val="21"/>
    </w:rPr>
  </w:style>
  <w:style w:type="paragraph" w:styleId="30">
    <w:name w:val="toc 4"/>
    <w:basedOn w:val="1"/>
    <w:next w:val="1"/>
    <w:qFormat/>
    <w:uiPriority w:val="39"/>
    <w:pPr>
      <w:tabs>
        <w:tab w:val="right" w:leader="dot" w:pos="9241"/>
      </w:tabs>
      <w:ind w:firstLine="198" w:firstLineChars="200"/>
      <w:jc w:val="left"/>
    </w:pPr>
    <w:rPr>
      <w:rFonts w:ascii="宋体" w:hAnsi="Times New Roman" w:eastAsia="宋体" w:cs="Times New Roman"/>
      <w:szCs w:val="21"/>
    </w:rPr>
  </w:style>
  <w:style w:type="paragraph" w:styleId="31">
    <w:name w:val="index heading"/>
    <w:basedOn w:val="1"/>
    <w:next w:val="32"/>
    <w:semiHidden/>
    <w:qFormat/>
    <w:uiPriority w:val="0"/>
    <w:pPr>
      <w:spacing w:before="120" w:after="120"/>
      <w:jc w:val="center"/>
    </w:pPr>
    <w:rPr>
      <w:rFonts w:ascii="Calibri" w:hAnsi="Calibri" w:eastAsia="宋体" w:cs="Times New Roman"/>
      <w:b/>
      <w:bCs/>
      <w:iCs/>
      <w:szCs w:val="20"/>
    </w:rPr>
  </w:style>
  <w:style w:type="paragraph" w:styleId="32">
    <w:name w:val="index 1"/>
    <w:basedOn w:val="1"/>
    <w:next w:val="1"/>
    <w:semiHidden/>
    <w:unhideWhenUsed/>
    <w:qFormat/>
    <w:uiPriority w:val="0"/>
  </w:style>
  <w:style w:type="paragraph" w:styleId="33">
    <w:name w:val="footnote text"/>
    <w:basedOn w:val="1"/>
    <w:link w:val="71"/>
    <w:semiHidden/>
    <w:qFormat/>
    <w:uiPriority w:val="0"/>
    <w:pPr>
      <w:numPr>
        <w:ilvl w:val="0"/>
        <w:numId w:val="2"/>
      </w:numPr>
      <w:snapToGrid w:val="0"/>
      <w:jc w:val="left"/>
    </w:pPr>
    <w:rPr>
      <w:rFonts w:ascii="宋体" w:hAnsi="Times New Roman" w:eastAsia="宋体" w:cs="Times New Roman"/>
      <w:sz w:val="18"/>
      <w:szCs w:val="18"/>
    </w:rPr>
  </w:style>
  <w:style w:type="paragraph" w:styleId="34">
    <w:name w:val="toc 6"/>
    <w:basedOn w:val="1"/>
    <w:next w:val="1"/>
    <w:semiHidden/>
    <w:qFormat/>
    <w:uiPriority w:val="0"/>
    <w:pPr>
      <w:tabs>
        <w:tab w:val="right" w:leader="dot" w:pos="9241"/>
      </w:tabs>
      <w:ind w:firstLine="403" w:firstLineChars="400"/>
      <w:jc w:val="left"/>
    </w:pPr>
    <w:rPr>
      <w:rFonts w:ascii="宋体" w:hAnsi="Times New Roman" w:eastAsia="宋体" w:cs="Times New Roman"/>
      <w:szCs w:val="21"/>
    </w:rPr>
  </w:style>
  <w:style w:type="paragraph" w:styleId="35">
    <w:name w:val="index 7"/>
    <w:basedOn w:val="1"/>
    <w:next w:val="1"/>
    <w:semiHidden/>
    <w:qFormat/>
    <w:uiPriority w:val="0"/>
    <w:pPr>
      <w:ind w:left="1470" w:hanging="210"/>
      <w:jc w:val="left"/>
    </w:pPr>
    <w:rPr>
      <w:rFonts w:ascii="Calibri" w:hAnsi="Calibri" w:eastAsia="宋体" w:cs="Times New Roman"/>
      <w:sz w:val="20"/>
      <w:szCs w:val="20"/>
    </w:rPr>
  </w:style>
  <w:style w:type="paragraph" w:styleId="36">
    <w:name w:val="index 9"/>
    <w:basedOn w:val="1"/>
    <w:next w:val="1"/>
    <w:semiHidden/>
    <w:qFormat/>
    <w:uiPriority w:val="0"/>
    <w:pPr>
      <w:ind w:left="1890" w:hanging="210"/>
      <w:jc w:val="left"/>
    </w:pPr>
    <w:rPr>
      <w:rFonts w:ascii="Calibri" w:hAnsi="Calibri" w:eastAsia="宋体" w:cs="Times New Roman"/>
      <w:sz w:val="20"/>
      <w:szCs w:val="20"/>
    </w:rPr>
  </w:style>
  <w:style w:type="paragraph" w:styleId="37">
    <w:name w:val="toc 2"/>
    <w:basedOn w:val="1"/>
    <w:next w:val="1"/>
    <w:qFormat/>
    <w:uiPriority w:val="39"/>
    <w:pPr>
      <w:tabs>
        <w:tab w:val="right" w:leader="dot" w:pos="9241"/>
      </w:tabs>
    </w:pPr>
    <w:rPr>
      <w:rFonts w:ascii="宋体" w:hAnsi="Times New Roman" w:eastAsia="宋体" w:cs="Times New Roman"/>
      <w:szCs w:val="21"/>
    </w:rPr>
  </w:style>
  <w:style w:type="paragraph" w:styleId="38">
    <w:name w:val="toc 9"/>
    <w:basedOn w:val="1"/>
    <w:next w:val="1"/>
    <w:semiHidden/>
    <w:qFormat/>
    <w:uiPriority w:val="0"/>
    <w:pPr>
      <w:ind w:left="1470"/>
      <w:jc w:val="left"/>
    </w:pPr>
    <w:rPr>
      <w:rFonts w:ascii="Times New Roman" w:hAnsi="Times New Roman" w:eastAsia="宋体" w:cs="Times New Roman"/>
      <w:sz w:val="20"/>
      <w:szCs w:val="20"/>
    </w:rPr>
  </w:style>
  <w:style w:type="paragraph" w:styleId="39">
    <w:name w:val="index 2"/>
    <w:basedOn w:val="1"/>
    <w:next w:val="1"/>
    <w:semiHidden/>
    <w:qFormat/>
    <w:uiPriority w:val="0"/>
    <w:pPr>
      <w:ind w:left="420" w:hanging="210"/>
      <w:jc w:val="left"/>
    </w:pPr>
    <w:rPr>
      <w:rFonts w:ascii="Calibri" w:hAnsi="Calibri" w:eastAsia="宋体" w:cs="Times New Roman"/>
      <w:sz w:val="20"/>
      <w:szCs w:val="20"/>
    </w:rPr>
  </w:style>
  <w:style w:type="paragraph" w:styleId="40">
    <w:name w:val="annotation subject"/>
    <w:basedOn w:val="16"/>
    <w:next w:val="16"/>
    <w:link w:val="86"/>
    <w:unhideWhenUsed/>
    <w:qFormat/>
    <w:uiPriority w:val="99"/>
    <w:rPr>
      <w:b/>
      <w:bCs/>
    </w:rPr>
  </w:style>
  <w:style w:type="table" w:styleId="42">
    <w:name w:val="Table Grid"/>
    <w:basedOn w:val="41"/>
    <w:qFormat/>
    <w:uiPriority w:val="0"/>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4">
    <w:name w:val="endnote reference"/>
    <w:semiHidden/>
    <w:qFormat/>
    <w:uiPriority w:val="0"/>
    <w:rPr>
      <w:vertAlign w:val="superscript"/>
    </w:rPr>
  </w:style>
  <w:style w:type="character" w:styleId="45">
    <w:name w:val="page number"/>
    <w:qFormat/>
    <w:uiPriority w:val="0"/>
    <w:rPr>
      <w:rFonts w:ascii="Times New Roman" w:hAnsi="Times New Roman" w:eastAsia="宋体"/>
      <w:sz w:val="18"/>
    </w:rPr>
  </w:style>
  <w:style w:type="character" w:styleId="46">
    <w:name w:val="FollowedHyperlink"/>
    <w:semiHidden/>
    <w:qFormat/>
    <w:uiPriority w:val="0"/>
    <w:rPr>
      <w:color w:val="800080"/>
      <w:u w:val="single"/>
    </w:rPr>
  </w:style>
  <w:style w:type="character" w:styleId="47">
    <w:name w:val="line number"/>
    <w:basedOn w:val="43"/>
    <w:unhideWhenUsed/>
    <w:qFormat/>
    <w:uiPriority w:val="99"/>
  </w:style>
  <w:style w:type="character" w:styleId="48">
    <w:name w:val="HTML Typewriter"/>
    <w:semiHidden/>
    <w:qFormat/>
    <w:uiPriority w:val="0"/>
    <w:rPr>
      <w:rFonts w:ascii="Courier New" w:hAnsi="Courier New"/>
      <w:sz w:val="20"/>
      <w:szCs w:val="20"/>
    </w:rPr>
  </w:style>
  <w:style w:type="character" w:styleId="49">
    <w:name w:val="HTML Acronym"/>
    <w:basedOn w:val="43"/>
    <w:semiHidden/>
    <w:qFormat/>
    <w:uiPriority w:val="0"/>
  </w:style>
  <w:style w:type="character" w:styleId="50">
    <w:name w:val="Hyperlink"/>
    <w:qFormat/>
    <w:uiPriority w:val="99"/>
    <w:rPr>
      <w:color w:val="0000FF"/>
      <w:spacing w:val="0"/>
      <w:w w:val="100"/>
      <w:szCs w:val="21"/>
      <w:u w:val="single"/>
    </w:rPr>
  </w:style>
  <w:style w:type="character" w:styleId="51">
    <w:name w:val="annotation reference"/>
    <w:qFormat/>
    <w:uiPriority w:val="99"/>
    <w:rPr>
      <w:sz w:val="21"/>
      <w:szCs w:val="21"/>
    </w:rPr>
  </w:style>
  <w:style w:type="character" w:styleId="52">
    <w:name w:val="footnote reference"/>
    <w:semiHidden/>
    <w:qFormat/>
    <w:uiPriority w:val="0"/>
    <w:rPr>
      <w:vertAlign w:val="superscript"/>
    </w:rPr>
  </w:style>
  <w:style w:type="character" w:customStyle="1" w:styleId="53">
    <w:name w:val="页眉 字符"/>
    <w:basedOn w:val="43"/>
    <w:link w:val="28"/>
    <w:qFormat/>
    <w:uiPriority w:val="99"/>
    <w:rPr>
      <w:sz w:val="18"/>
      <w:szCs w:val="18"/>
    </w:rPr>
  </w:style>
  <w:style w:type="character" w:customStyle="1" w:styleId="54">
    <w:name w:val="页脚 字符"/>
    <w:basedOn w:val="43"/>
    <w:link w:val="27"/>
    <w:qFormat/>
    <w:uiPriority w:val="0"/>
    <w:rPr>
      <w:sz w:val="18"/>
      <w:szCs w:val="18"/>
    </w:rPr>
  </w:style>
  <w:style w:type="character" w:customStyle="1" w:styleId="55">
    <w:name w:val="标题 1 字符"/>
    <w:basedOn w:val="43"/>
    <w:link w:val="2"/>
    <w:qFormat/>
    <w:uiPriority w:val="0"/>
    <w:rPr>
      <w:rFonts w:ascii="Arial" w:hAnsi="Arial" w:eastAsia="黑体" w:cs="Times New Roman"/>
      <w:color w:val="000000"/>
      <w:sz w:val="28"/>
      <w:szCs w:val="28"/>
    </w:rPr>
  </w:style>
  <w:style w:type="character" w:customStyle="1" w:styleId="56">
    <w:name w:val="标题 2 字符"/>
    <w:basedOn w:val="43"/>
    <w:link w:val="3"/>
    <w:qFormat/>
    <w:uiPriority w:val="0"/>
    <w:rPr>
      <w:rFonts w:ascii="Arial" w:hAnsi="Arial" w:eastAsia="黑体" w:cs="Times New Roman"/>
      <w:bCs/>
      <w:sz w:val="26"/>
      <w:szCs w:val="26"/>
    </w:rPr>
  </w:style>
  <w:style w:type="character" w:customStyle="1" w:styleId="57">
    <w:name w:val="标题 3 字符"/>
    <w:basedOn w:val="43"/>
    <w:link w:val="4"/>
    <w:qFormat/>
    <w:uiPriority w:val="0"/>
    <w:rPr>
      <w:rFonts w:ascii="Arial" w:hAnsi="宋体" w:eastAsia="黑体" w:cs="Times New Roman"/>
      <w:bCs/>
      <w:sz w:val="25"/>
      <w:szCs w:val="25"/>
    </w:rPr>
  </w:style>
  <w:style w:type="character" w:customStyle="1" w:styleId="58">
    <w:name w:val="标题 4 字符"/>
    <w:basedOn w:val="43"/>
    <w:link w:val="5"/>
    <w:qFormat/>
    <w:uiPriority w:val="0"/>
    <w:rPr>
      <w:rFonts w:ascii="Arial" w:hAnsi="Arial" w:eastAsia="黑体" w:cs="Times New Roman"/>
      <w:position w:val="6"/>
      <w:sz w:val="25"/>
      <w:szCs w:val="25"/>
    </w:rPr>
  </w:style>
  <w:style w:type="character" w:customStyle="1" w:styleId="59">
    <w:name w:val="标题 5 字符"/>
    <w:basedOn w:val="43"/>
    <w:link w:val="6"/>
    <w:qFormat/>
    <w:uiPriority w:val="0"/>
    <w:rPr>
      <w:rFonts w:ascii="Arial" w:hAnsi="Arial" w:eastAsia="黑体" w:cs="Times New Roman"/>
      <w:kern w:val="0"/>
      <w:position w:val="6"/>
      <w:sz w:val="25"/>
      <w:szCs w:val="25"/>
    </w:rPr>
  </w:style>
  <w:style w:type="character" w:customStyle="1" w:styleId="60">
    <w:name w:val="标题 6 字符"/>
    <w:basedOn w:val="43"/>
    <w:link w:val="7"/>
    <w:qFormat/>
    <w:uiPriority w:val="0"/>
    <w:rPr>
      <w:rFonts w:ascii="Courier New" w:hAnsi="Courier New" w:eastAsia="黑体" w:cs="Times New Roman"/>
      <w:kern w:val="0"/>
      <w:sz w:val="28"/>
      <w:szCs w:val="28"/>
    </w:rPr>
  </w:style>
  <w:style w:type="character" w:customStyle="1" w:styleId="61">
    <w:name w:val="标题 7 字符"/>
    <w:basedOn w:val="43"/>
    <w:link w:val="8"/>
    <w:qFormat/>
    <w:uiPriority w:val="0"/>
    <w:rPr>
      <w:rFonts w:ascii="楷体_GB2312" w:hAnsi="Times New Roman" w:eastAsia="楷体_GB2312" w:cs="Times New Roman"/>
      <w:sz w:val="28"/>
      <w:szCs w:val="28"/>
    </w:rPr>
  </w:style>
  <w:style w:type="character" w:customStyle="1" w:styleId="62">
    <w:name w:val="标题 8 字符"/>
    <w:basedOn w:val="43"/>
    <w:link w:val="9"/>
    <w:qFormat/>
    <w:uiPriority w:val="0"/>
    <w:rPr>
      <w:rFonts w:ascii="Arial" w:hAnsi="Arial" w:eastAsia="黑体" w:cs="Times New Roman"/>
      <w:sz w:val="24"/>
      <w:szCs w:val="24"/>
    </w:rPr>
  </w:style>
  <w:style w:type="character" w:customStyle="1" w:styleId="63">
    <w:name w:val="标题 9 字符"/>
    <w:basedOn w:val="43"/>
    <w:link w:val="10"/>
    <w:qFormat/>
    <w:uiPriority w:val="0"/>
    <w:rPr>
      <w:rFonts w:ascii="Arial" w:hAnsi="Arial" w:eastAsia="黑体" w:cs="Times New Roman"/>
      <w:szCs w:val="21"/>
    </w:rPr>
  </w:style>
  <w:style w:type="character" w:customStyle="1" w:styleId="64">
    <w:name w:val="文档结构图 字符"/>
    <w:basedOn w:val="43"/>
    <w:link w:val="15"/>
    <w:semiHidden/>
    <w:qFormat/>
    <w:uiPriority w:val="0"/>
    <w:rPr>
      <w:rFonts w:ascii="Times New Roman" w:hAnsi="Times New Roman" w:eastAsia="宋体" w:cs="Times New Roman"/>
      <w:szCs w:val="24"/>
      <w:shd w:val="clear" w:color="auto" w:fill="000080"/>
    </w:rPr>
  </w:style>
  <w:style w:type="character" w:customStyle="1" w:styleId="65">
    <w:name w:val="批注文字 字符"/>
    <w:basedOn w:val="43"/>
    <w:semiHidden/>
    <w:qFormat/>
    <w:uiPriority w:val="99"/>
  </w:style>
  <w:style w:type="character" w:customStyle="1" w:styleId="66">
    <w:name w:val="纯文本 字符"/>
    <w:basedOn w:val="43"/>
    <w:qFormat/>
    <w:uiPriority w:val="0"/>
    <w:rPr>
      <w:rFonts w:hAnsi="Courier New" w:cs="Courier New" w:asciiTheme="minorEastAsia"/>
    </w:rPr>
  </w:style>
  <w:style w:type="character" w:customStyle="1" w:styleId="67">
    <w:name w:val="日期 字符"/>
    <w:basedOn w:val="43"/>
    <w:qFormat/>
    <w:uiPriority w:val="0"/>
  </w:style>
  <w:style w:type="character" w:customStyle="1" w:styleId="68">
    <w:name w:val="尾注文本 字符"/>
    <w:basedOn w:val="43"/>
    <w:link w:val="25"/>
    <w:semiHidden/>
    <w:qFormat/>
    <w:uiPriority w:val="0"/>
    <w:rPr>
      <w:rFonts w:ascii="Times New Roman" w:hAnsi="Times New Roman" w:eastAsia="宋体" w:cs="Times New Roman"/>
      <w:szCs w:val="24"/>
    </w:rPr>
  </w:style>
  <w:style w:type="character" w:customStyle="1" w:styleId="69">
    <w:name w:val="批注框文本 字符"/>
    <w:basedOn w:val="43"/>
    <w:link w:val="26"/>
    <w:qFormat/>
    <w:uiPriority w:val="99"/>
    <w:rPr>
      <w:rFonts w:ascii="Times New Roman" w:hAnsi="Times New Roman" w:eastAsia="宋体" w:cs="Times New Roman"/>
      <w:sz w:val="18"/>
      <w:szCs w:val="18"/>
    </w:rPr>
  </w:style>
  <w:style w:type="paragraph" w:customStyle="1" w:styleId="7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71">
    <w:name w:val="脚注文本 字符"/>
    <w:basedOn w:val="43"/>
    <w:link w:val="33"/>
    <w:semiHidden/>
    <w:qFormat/>
    <w:uiPriority w:val="0"/>
    <w:rPr>
      <w:rFonts w:ascii="宋体" w:hAnsi="Times New Roman" w:eastAsia="宋体" w:cs="Times New Roman"/>
      <w:sz w:val="18"/>
      <w:szCs w:val="18"/>
    </w:rPr>
  </w:style>
  <w:style w:type="character" w:customStyle="1" w:styleId="72">
    <w:name w:val="批注主题 字符"/>
    <w:basedOn w:val="65"/>
    <w:semiHidden/>
    <w:qFormat/>
    <w:uiPriority w:val="99"/>
    <w:rPr>
      <w:b/>
      <w:bCs/>
    </w:rPr>
  </w:style>
  <w:style w:type="character" w:customStyle="1" w:styleId="73">
    <w:name w:val="页眉 字符1"/>
    <w:qFormat/>
    <w:uiPriority w:val="99"/>
    <w:rPr>
      <w:kern w:val="2"/>
      <w:sz w:val="18"/>
      <w:szCs w:val="18"/>
    </w:rPr>
  </w:style>
  <w:style w:type="character" w:customStyle="1" w:styleId="74">
    <w:name w:val="段 Char"/>
    <w:qFormat/>
    <w:uiPriority w:val="0"/>
    <w:rPr>
      <w:rFonts w:ascii="宋体"/>
      <w:sz w:val="21"/>
      <w:lang w:val="en-US" w:eastAsia="zh-CN" w:bidi="ar-SA"/>
    </w:rPr>
  </w:style>
  <w:style w:type="character" w:customStyle="1" w:styleId="75">
    <w:name w:val="页脚 字符1"/>
    <w:qFormat/>
    <w:uiPriority w:val="0"/>
    <w:rPr>
      <w:kern w:val="2"/>
      <w:sz w:val="18"/>
      <w:szCs w:val="18"/>
    </w:rPr>
  </w:style>
  <w:style w:type="character" w:customStyle="1" w:styleId="76">
    <w:name w:val="附录公式 Char"/>
    <w:basedOn w:val="74"/>
    <w:qFormat/>
    <w:uiPriority w:val="0"/>
    <w:rPr>
      <w:rFonts w:ascii="宋体"/>
      <w:sz w:val="21"/>
      <w:lang w:val="en-US" w:eastAsia="zh-CN" w:bidi="ar-SA"/>
    </w:rPr>
  </w:style>
  <w:style w:type="character" w:customStyle="1" w:styleId="77">
    <w:name w:val="批注文字 Char"/>
    <w:qFormat/>
    <w:uiPriority w:val="99"/>
    <w:rPr>
      <w:rFonts w:eastAsia="宋体"/>
      <w:kern w:val="2"/>
      <w:sz w:val="21"/>
      <w:szCs w:val="24"/>
      <w:lang w:val="en-US" w:eastAsia="zh-CN" w:bidi="ar-SA"/>
    </w:rPr>
  </w:style>
  <w:style w:type="character" w:customStyle="1" w:styleId="78">
    <w:name w:val="首示例 Char Char"/>
    <w:qFormat/>
    <w:uiPriority w:val="0"/>
    <w:rPr>
      <w:rFonts w:ascii="宋体" w:hAnsi="宋体"/>
      <w:kern w:val="2"/>
      <w:sz w:val="18"/>
      <w:szCs w:val="18"/>
      <w:lang w:val="en-US" w:eastAsia="zh-CN" w:bidi="ar-SA"/>
    </w:rPr>
  </w:style>
  <w:style w:type="character" w:customStyle="1" w:styleId="79">
    <w:name w:val="发布"/>
    <w:qFormat/>
    <w:uiPriority w:val="0"/>
    <w:rPr>
      <w:rFonts w:ascii="黑体" w:eastAsia="黑体"/>
      <w:spacing w:val="85"/>
      <w:w w:val="100"/>
      <w:position w:val="3"/>
      <w:sz w:val="28"/>
      <w:szCs w:val="28"/>
    </w:rPr>
  </w:style>
  <w:style w:type="character" w:customStyle="1" w:styleId="80">
    <w:name w:val="批注文字 字符1"/>
    <w:link w:val="16"/>
    <w:qFormat/>
    <w:uiPriority w:val="0"/>
    <w:rPr>
      <w:rFonts w:ascii="Times New Roman" w:hAnsi="Times New Roman" w:eastAsia="宋体" w:cs="Times New Roman"/>
      <w:szCs w:val="24"/>
    </w:rPr>
  </w:style>
  <w:style w:type="character" w:customStyle="1" w:styleId="81">
    <w:name w:val="日期 字符1"/>
    <w:link w:val="24"/>
    <w:qFormat/>
    <w:uiPriority w:val="0"/>
    <w:rPr>
      <w:rFonts w:ascii="Times New Roman" w:hAnsi="Times New Roman" w:eastAsia="宋体" w:cs="Times New Roman"/>
      <w:szCs w:val="24"/>
    </w:rPr>
  </w:style>
  <w:style w:type="character" w:customStyle="1" w:styleId="82">
    <w:name w:val="批注框文本 Char"/>
    <w:qFormat/>
    <w:uiPriority w:val="99"/>
    <w:rPr>
      <w:kern w:val="2"/>
      <w:sz w:val="18"/>
      <w:szCs w:val="18"/>
    </w:rPr>
  </w:style>
  <w:style w:type="character" w:customStyle="1" w:styleId="83">
    <w:name w:val="正文 首行缩进:  0.85 厘米 Char"/>
    <w:link w:val="84"/>
    <w:qFormat/>
    <w:uiPriority w:val="0"/>
    <w:rPr>
      <w:rFonts w:cs="宋体"/>
      <w:sz w:val="24"/>
    </w:rPr>
  </w:style>
  <w:style w:type="paragraph" w:customStyle="1" w:styleId="84">
    <w:name w:val="正文 首行缩进:  0.85 厘米"/>
    <w:basedOn w:val="1"/>
    <w:link w:val="83"/>
    <w:qFormat/>
    <w:uiPriority w:val="0"/>
    <w:pPr>
      <w:spacing w:line="400" w:lineRule="exact"/>
      <w:ind w:firstLine="482"/>
      <w:jc w:val="left"/>
    </w:pPr>
    <w:rPr>
      <w:rFonts w:cs="宋体"/>
      <w:sz w:val="24"/>
    </w:rPr>
  </w:style>
  <w:style w:type="character" w:customStyle="1" w:styleId="85">
    <w:name w:val="apple-converted-space"/>
    <w:qFormat/>
    <w:uiPriority w:val="0"/>
  </w:style>
  <w:style w:type="character" w:customStyle="1" w:styleId="86">
    <w:name w:val="批注主题 字符1"/>
    <w:link w:val="40"/>
    <w:qFormat/>
    <w:uiPriority w:val="99"/>
    <w:rPr>
      <w:rFonts w:ascii="Times New Roman" w:hAnsi="Times New Roman" w:eastAsia="宋体" w:cs="Times New Roman"/>
      <w:b/>
      <w:bCs/>
      <w:szCs w:val="24"/>
    </w:rPr>
  </w:style>
  <w:style w:type="character" w:customStyle="1" w:styleId="87">
    <w:name w:val="段 Char Char"/>
    <w:qFormat/>
    <w:uiPriority w:val="0"/>
    <w:rPr>
      <w:rFonts w:ascii="宋体"/>
      <w:sz w:val="21"/>
      <w:lang w:val="en-US" w:eastAsia="zh-CN" w:bidi="ar-SA"/>
    </w:rPr>
  </w:style>
  <w:style w:type="character" w:customStyle="1" w:styleId="88">
    <w:name w:val="首示例 Char"/>
    <w:qFormat/>
    <w:uiPriority w:val="0"/>
    <w:rPr>
      <w:rFonts w:ascii="宋体" w:hAnsi="宋体"/>
      <w:kern w:val="2"/>
      <w:sz w:val="18"/>
      <w:szCs w:val="18"/>
      <w:lang w:val="en-US" w:eastAsia="zh-CN" w:bidi="ar-SA"/>
    </w:rPr>
  </w:style>
  <w:style w:type="character" w:customStyle="1" w:styleId="89">
    <w:name w:val="附录公式 Char Char"/>
    <w:basedOn w:val="87"/>
    <w:qFormat/>
    <w:uiPriority w:val="0"/>
    <w:rPr>
      <w:rFonts w:ascii="宋体"/>
      <w:sz w:val="21"/>
      <w:lang w:val="en-US" w:eastAsia="zh-CN" w:bidi="ar-SA"/>
    </w:rPr>
  </w:style>
  <w:style w:type="character" w:customStyle="1" w:styleId="90">
    <w:name w:val="纯文本 字符1"/>
    <w:link w:val="21"/>
    <w:qFormat/>
    <w:uiPriority w:val="0"/>
    <w:rPr>
      <w:rFonts w:ascii="宋体" w:hAnsi="Courier New" w:eastAsia="宋体" w:cs="Times New Roman"/>
      <w:szCs w:val="20"/>
    </w:rPr>
  </w:style>
  <w:style w:type="paragraph" w:customStyle="1" w:styleId="9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92">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Arial Unicode MS" w:cs="Times New Roman"/>
      <w:kern w:val="0"/>
      <w:szCs w:val="21"/>
    </w:rPr>
  </w:style>
  <w:style w:type="paragraph" w:customStyle="1" w:styleId="93">
    <w:name w:val="三级条标题"/>
    <w:basedOn w:val="94"/>
    <w:next w:val="70"/>
    <w:qFormat/>
    <w:uiPriority w:val="0"/>
    <w:pPr>
      <w:numPr>
        <w:ilvl w:val="3"/>
      </w:numPr>
      <w:outlineLvl w:val="4"/>
    </w:pPr>
  </w:style>
  <w:style w:type="paragraph" w:customStyle="1" w:styleId="94">
    <w:name w:val="二级条标题"/>
    <w:basedOn w:val="95"/>
    <w:next w:val="70"/>
    <w:qFormat/>
    <w:uiPriority w:val="0"/>
    <w:pPr>
      <w:numPr>
        <w:ilvl w:val="2"/>
      </w:numPr>
      <w:spacing w:before="50" w:after="50"/>
      <w:outlineLvl w:val="3"/>
    </w:pPr>
  </w:style>
  <w:style w:type="paragraph" w:customStyle="1" w:styleId="95">
    <w:name w:val="一级条标题"/>
    <w:next w:val="70"/>
    <w:qFormat/>
    <w:uiPriority w:val="0"/>
    <w:pPr>
      <w:numPr>
        <w:ilvl w:val="1"/>
        <w:numId w:val="3"/>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96">
    <w:name w:val="列项说明"/>
    <w:basedOn w:val="1"/>
    <w:qFormat/>
    <w:uiPriority w:val="0"/>
    <w:pPr>
      <w:adjustRightInd w:val="0"/>
      <w:spacing w:line="320" w:lineRule="exact"/>
      <w:ind w:left="400" w:leftChars="200" w:hanging="200" w:hangingChars="200"/>
      <w:jc w:val="left"/>
      <w:textAlignment w:val="baseline"/>
    </w:pPr>
    <w:rPr>
      <w:rFonts w:ascii="宋体" w:hAnsi="Times New Roman" w:eastAsia="宋体" w:cs="Times New Roman"/>
      <w:kern w:val="0"/>
      <w:szCs w:val="20"/>
    </w:rPr>
  </w:style>
  <w:style w:type="paragraph" w:customStyle="1" w:styleId="9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8">
    <w:name w:val="封面一致性程度标识"/>
    <w:basedOn w:val="99"/>
    <w:qFormat/>
    <w:uiPriority w:val="0"/>
    <w:pPr>
      <w:framePr w:wrap="around"/>
      <w:spacing w:before="440"/>
    </w:pPr>
    <w:rPr>
      <w:rFonts w:ascii="宋体" w:eastAsia="宋体"/>
    </w:rPr>
  </w:style>
  <w:style w:type="paragraph" w:customStyle="1" w:styleId="99">
    <w:name w:val="封面标准英文名称"/>
    <w:basedOn w:val="100"/>
    <w:qFormat/>
    <w:uiPriority w:val="0"/>
    <w:pPr>
      <w:framePr w:wrap="around"/>
      <w:spacing w:before="370" w:line="400" w:lineRule="exact"/>
    </w:pPr>
    <w:rPr>
      <w:rFonts w:ascii="Times New Roman"/>
      <w:sz w:val="28"/>
      <w:szCs w:val="28"/>
    </w:rPr>
  </w:style>
  <w:style w:type="paragraph" w:customStyle="1" w:styleId="10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01">
    <w:name w:val="样式 标题 2 + Arial 两端对齐 悬挂缩进: 0.73 字符 段前: 6 磅 段后: 6 磅 行距: 最小值 ..."/>
    <w:basedOn w:val="3"/>
    <w:qFormat/>
    <w:uiPriority w:val="0"/>
    <w:pPr>
      <w:spacing w:before="120" w:after="120" w:line="240" w:lineRule="atLeast"/>
      <w:ind w:left="-6" w:leftChars="-86" w:right="94" w:rightChars="45" w:hanging="175" w:hangingChars="73"/>
      <w:jc w:val="both"/>
    </w:pPr>
    <w:rPr>
      <w:b/>
      <w:bCs w:val="0"/>
    </w:rPr>
  </w:style>
  <w:style w:type="paragraph" w:customStyle="1" w:styleId="102">
    <w:name w:val="正文图标题"/>
    <w:next w:val="70"/>
    <w:qFormat/>
    <w:uiPriority w:val="0"/>
    <w:pPr>
      <w:numPr>
        <w:ilvl w:val="0"/>
        <w:numId w:val="4"/>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03">
    <w:name w:val="四级条标题"/>
    <w:basedOn w:val="93"/>
    <w:next w:val="70"/>
    <w:qFormat/>
    <w:uiPriority w:val="0"/>
    <w:pPr>
      <w:numPr>
        <w:ilvl w:val="4"/>
      </w:numPr>
      <w:outlineLvl w:val="5"/>
    </w:pPr>
  </w:style>
  <w:style w:type="paragraph" w:customStyle="1" w:styleId="104">
    <w:name w:val="附录五级条标题"/>
    <w:basedOn w:val="105"/>
    <w:next w:val="70"/>
    <w:qFormat/>
    <w:uiPriority w:val="0"/>
    <w:pPr>
      <w:numPr>
        <w:ilvl w:val="6"/>
      </w:numPr>
      <w:tabs>
        <w:tab w:val="left" w:pos="360"/>
      </w:tabs>
      <w:outlineLvl w:val="6"/>
    </w:pPr>
  </w:style>
  <w:style w:type="paragraph" w:customStyle="1" w:styleId="105">
    <w:name w:val="附录四级条标题"/>
    <w:basedOn w:val="106"/>
    <w:next w:val="70"/>
    <w:qFormat/>
    <w:uiPriority w:val="0"/>
    <w:pPr>
      <w:numPr>
        <w:ilvl w:val="5"/>
      </w:numPr>
      <w:tabs>
        <w:tab w:val="left" w:pos="360"/>
      </w:tabs>
      <w:outlineLvl w:val="5"/>
    </w:pPr>
  </w:style>
  <w:style w:type="paragraph" w:customStyle="1" w:styleId="106">
    <w:name w:val="附录三级条标题"/>
    <w:basedOn w:val="107"/>
    <w:next w:val="70"/>
    <w:qFormat/>
    <w:uiPriority w:val="0"/>
    <w:pPr>
      <w:numPr>
        <w:ilvl w:val="4"/>
      </w:numPr>
      <w:tabs>
        <w:tab w:val="left" w:pos="360"/>
      </w:tabs>
      <w:outlineLvl w:val="4"/>
    </w:pPr>
  </w:style>
  <w:style w:type="paragraph" w:customStyle="1" w:styleId="107">
    <w:name w:val="附录二级条标题"/>
    <w:basedOn w:val="1"/>
    <w:next w:val="70"/>
    <w:qFormat/>
    <w:uiPriority w:val="0"/>
    <w:pPr>
      <w:widowControl/>
      <w:numPr>
        <w:ilvl w:val="3"/>
        <w:numId w:val="5"/>
      </w:numPr>
      <w:tabs>
        <w:tab w:val="left" w:pos="360"/>
      </w:tabs>
      <w:wordWrap w:val="0"/>
      <w:overflowPunct w:val="0"/>
      <w:autoSpaceDE w:val="0"/>
      <w:autoSpaceDN w:val="0"/>
      <w:spacing w:before="50" w:beforeLines="50" w:after="50" w:afterLines="50"/>
      <w:textAlignment w:val="baseline"/>
      <w:outlineLvl w:val="3"/>
    </w:pPr>
    <w:rPr>
      <w:rFonts w:ascii="黑体" w:hAnsi="Times New Roman" w:eastAsia="黑体" w:cs="Times New Roman"/>
      <w:kern w:val="21"/>
      <w:szCs w:val="20"/>
    </w:rPr>
  </w:style>
  <w:style w:type="paragraph" w:customStyle="1" w:styleId="108">
    <w:name w:val="一级无标题条"/>
    <w:basedOn w:val="1"/>
    <w:qFormat/>
    <w:uiPriority w:val="0"/>
    <w:pPr>
      <w:numPr>
        <w:ilvl w:val="2"/>
        <w:numId w:val="6"/>
      </w:numPr>
    </w:pPr>
    <w:rPr>
      <w:rFonts w:ascii="Times New Roman" w:hAnsi="Times New Roman" w:eastAsia="宋体" w:cs="Times New Roman"/>
      <w:szCs w:val="24"/>
    </w:rPr>
  </w:style>
  <w:style w:type="paragraph" w:customStyle="1" w:styleId="109">
    <w:name w:val="附录公式"/>
    <w:basedOn w:val="70"/>
    <w:next w:val="70"/>
    <w:qFormat/>
    <w:uiPriority w:val="0"/>
  </w:style>
  <w:style w:type="paragraph" w:customStyle="1" w:styleId="110">
    <w:name w:val="前言、引言标题"/>
    <w:next w:val="70"/>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1">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12">
    <w:name w:val="附录标题"/>
    <w:basedOn w:val="70"/>
    <w:next w:val="70"/>
    <w:qFormat/>
    <w:uiPriority w:val="0"/>
    <w:pPr>
      <w:ind w:firstLine="0" w:firstLineChars="0"/>
      <w:jc w:val="center"/>
    </w:pPr>
    <w:rPr>
      <w:rFonts w:ascii="黑体" w:eastAsia="黑体"/>
    </w:rPr>
  </w:style>
  <w:style w:type="paragraph" w:customStyle="1" w:styleId="113">
    <w:name w:val="五级无"/>
    <w:basedOn w:val="114"/>
    <w:qFormat/>
    <w:uiPriority w:val="0"/>
    <w:pPr>
      <w:spacing w:before="0" w:beforeLines="0" w:after="0" w:afterLines="0"/>
    </w:pPr>
    <w:rPr>
      <w:rFonts w:ascii="宋体" w:eastAsia="宋体"/>
    </w:rPr>
  </w:style>
  <w:style w:type="paragraph" w:customStyle="1" w:styleId="114">
    <w:name w:val="五级条标题"/>
    <w:basedOn w:val="103"/>
    <w:next w:val="70"/>
    <w:qFormat/>
    <w:uiPriority w:val="0"/>
    <w:pPr>
      <w:numPr>
        <w:ilvl w:val="5"/>
      </w:numPr>
      <w:outlineLvl w:val="6"/>
    </w:pPr>
  </w:style>
  <w:style w:type="paragraph" w:customStyle="1" w:styleId="115">
    <w:name w:val="标准书眉一"/>
    <w:qFormat/>
    <w:uiPriority w:val="0"/>
    <w:pPr>
      <w:jc w:val="both"/>
    </w:pPr>
    <w:rPr>
      <w:rFonts w:ascii="Times New Roman" w:hAnsi="Times New Roman" w:eastAsia="宋体" w:cs="Times New Roman"/>
      <w:lang w:val="en-US" w:eastAsia="zh-CN" w:bidi="ar-SA"/>
    </w:rPr>
  </w:style>
  <w:style w:type="paragraph" w:customStyle="1" w:styleId="116">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117">
    <w:name w:val="封面标准文稿类别"/>
    <w:basedOn w:val="98"/>
    <w:qFormat/>
    <w:uiPriority w:val="0"/>
    <w:pPr>
      <w:framePr w:wrap="around"/>
      <w:spacing w:after="160" w:line="240" w:lineRule="auto"/>
    </w:pPr>
    <w:rPr>
      <w:sz w:val="24"/>
    </w:rPr>
  </w:style>
  <w:style w:type="paragraph" w:customStyle="1" w:styleId="118">
    <w:name w:val="数字编号列项（二级）"/>
    <w:qFormat/>
    <w:uiPriority w:val="0"/>
    <w:pPr>
      <w:numPr>
        <w:ilvl w:val="1"/>
        <w:numId w:val="8"/>
      </w:numPr>
      <w:jc w:val="both"/>
    </w:pPr>
    <w:rPr>
      <w:rFonts w:ascii="宋体" w:hAnsi="Times New Roman" w:eastAsia="宋体" w:cs="Times New Roman"/>
      <w:sz w:val="21"/>
      <w:lang w:val="en-US" w:eastAsia="zh-CN" w:bidi="ar-SA"/>
    </w:rPr>
  </w:style>
  <w:style w:type="paragraph" w:customStyle="1" w:styleId="119">
    <w:name w:val="注×："/>
    <w:qFormat/>
    <w:uiPriority w:val="0"/>
    <w:pPr>
      <w:widowControl w:val="0"/>
      <w:numPr>
        <w:ilvl w:val="0"/>
        <w:numId w:val="9"/>
      </w:numPr>
      <w:autoSpaceDE w:val="0"/>
      <w:autoSpaceDN w:val="0"/>
      <w:jc w:val="both"/>
    </w:pPr>
    <w:rPr>
      <w:rFonts w:ascii="宋体" w:hAnsi="Times New Roman" w:eastAsia="宋体" w:cs="Times New Roman"/>
      <w:sz w:val="18"/>
      <w:szCs w:val="18"/>
      <w:lang w:val="en-US" w:eastAsia="zh-CN" w:bidi="ar-SA"/>
    </w:rPr>
  </w:style>
  <w:style w:type="paragraph" w:customStyle="1" w:styleId="120">
    <w:name w:val="三级无标题条"/>
    <w:basedOn w:val="1"/>
    <w:qFormat/>
    <w:uiPriority w:val="0"/>
    <w:pPr>
      <w:numPr>
        <w:ilvl w:val="4"/>
        <w:numId w:val="6"/>
      </w:numPr>
    </w:pPr>
    <w:rPr>
      <w:rFonts w:ascii="Times New Roman" w:hAnsi="Times New Roman" w:eastAsia="宋体" w:cs="Times New Roman"/>
      <w:szCs w:val="24"/>
    </w:rPr>
  </w:style>
  <w:style w:type="paragraph" w:customStyle="1" w:styleId="12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122">
    <w:name w:val="一级无"/>
    <w:basedOn w:val="95"/>
    <w:qFormat/>
    <w:uiPriority w:val="0"/>
    <w:pPr>
      <w:spacing w:before="0" w:beforeLines="0" w:after="0" w:afterLines="0"/>
    </w:pPr>
    <w:rPr>
      <w:rFonts w:ascii="宋体" w:eastAsia="宋体"/>
    </w:rPr>
  </w:style>
  <w:style w:type="paragraph" w:customStyle="1" w:styleId="123">
    <w:name w:val="附录图标题"/>
    <w:basedOn w:val="1"/>
    <w:next w:val="70"/>
    <w:qFormat/>
    <w:uiPriority w:val="0"/>
    <w:pPr>
      <w:numPr>
        <w:ilvl w:val="1"/>
        <w:numId w:val="10"/>
      </w:numPr>
      <w:tabs>
        <w:tab w:val="left" w:pos="363"/>
      </w:tabs>
      <w:spacing w:before="50" w:beforeLines="50" w:after="50" w:afterLines="50"/>
      <w:ind w:left="0" w:firstLine="0"/>
      <w:jc w:val="center"/>
    </w:pPr>
    <w:rPr>
      <w:rFonts w:ascii="黑体" w:hAnsi="Times New Roman" w:eastAsia="黑体" w:cs="Times New Roman"/>
      <w:szCs w:val="21"/>
    </w:rPr>
  </w:style>
  <w:style w:type="paragraph" w:customStyle="1" w:styleId="12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25">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6">
    <w:name w:val="其他标准标志"/>
    <w:basedOn w:val="97"/>
    <w:qFormat/>
    <w:uiPriority w:val="0"/>
    <w:pPr>
      <w:framePr w:w="6101" w:wrap="around" w:vAnchor="page" w:hAnchor="page" w:x="4673" w:y="942"/>
    </w:pPr>
    <w:rPr>
      <w:w w:val="130"/>
    </w:rPr>
  </w:style>
  <w:style w:type="paragraph" w:customStyle="1" w:styleId="127">
    <w:name w:val="封面标准文稿编辑信息"/>
    <w:basedOn w:val="117"/>
    <w:qFormat/>
    <w:uiPriority w:val="0"/>
    <w:pPr>
      <w:framePr w:wrap="around"/>
      <w:spacing w:before="180" w:line="180" w:lineRule="exact"/>
    </w:pPr>
    <w:rPr>
      <w:sz w:val="21"/>
    </w:rPr>
  </w:style>
  <w:style w:type="paragraph" w:customStyle="1" w:styleId="128">
    <w:name w:val="封面标准文稿类别2"/>
    <w:basedOn w:val="117"/>
    <w:qFormat/>
    <w:uiPriority w:val="0"/>
    <w:pPr>
      <w:framePr w:wrap="around" w:y="4469"/>
    </w:pPr>
  </w:style>
  <w:style w:type="paragraph" w:customStyle="1" w:styleId="129">
    <w:name w:val="二级无"/>
    <w:basedOn w:val="94"/>
    <w:qFormat/>
    <w:uiPriority w:val="0"/>
    <w:pPr>
      <w:spacing w:before="0" w:beforeLines="0" w:after="0" w:afterLines="0"/>
    </w:pPr>
    <w:rPr>
      <w:rFonts w:ascii="宋体" w:eastAsia="宋体"/>
    </w:rPr>
  </w:style>
  <w:style w:type="paragraph" w:customStyle="1" w:styleId="130">
    <w:name w:val="p0"/>
    <w:basedOn w:val="1"/>
    <w:qFormat/>
    <w:uiPriority w:val="0"/>
    <w:pPr>
      <w:widowControl/>
    </w:pPr>
    <w:rPr>
      <w:rFonts w:ascii="Times New Roman" w:hAnsi="Times New Roman" w:eastAsia="宋体" w:cs="Times New Roman"/>
      <w:kern w:val="0"/>
      <w:szCs w:val="21"/>
    </w:rPr>
  </w:style>
  <w:style w:type="paragraph" w:customStyle="1" w:styleId="131">
    <w:name w:val="五级无标题条"/>
    <w:basedOn w:val="1"/>
    <w:qFormat/>
    <w:uiPriority w:val="0"/>
    <w:pPr>
      <w:numPr>
        <w:ilvl w:val="6"/>
        <w:numId w:val="6"/>
      </w:numPr>
    </w:pPr>
    <w:rPr>
      <w:rFonts w:ascii="Times New Roman" w:hAnsi="Times New Roman" w:eastAsia="宋体" w:cs="Times New Roman"/>
      <w:szCs w:val="24"/>
    </w:rPr>
  </w:style>
  <w:style w:type="paragraph" w:customStyle="1" w:styleId="132">
    <w:name w:val="Char4"/>
    <w:basedOn w:val="1"/>
    <w:qFormat/>
    <w:uiPriority w:val="0"/>
    <w:rPr>
      <w:rFonts w:ascii="Tahoma" w:hAnsi="Tahoma" w:eastAsia="宋体" w:cs="Times New Roman"/>
      <w:sz w:val="24"/>
      <w:szCs w:val="20"/>
    </w:rPr>
  </w:style>
  <w:style w:type="paragraph" w:customStyle="1" w:styleId="133">
    <w:name w:val="标准书眉_偶数页"/>
    <w:basedOn w:val="124"/>
    <w:next w:val="1"/>
    <w:qFormat/>
    <w:uiPriority w:val="0"/>
    <w:pPr>
      <w:jc w:val="left"/>
    </w:pPr>
  </w:style>
  <w:style w:type="paragraph" w:customStyle="1" w:styleId="13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5">
    <w:name w:val="发布部门"/>
    <w:next w:val="70"/>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36">
    <w:name w:val="列项——（一级）"/>
    <w:qFormat/>
    <w:uiPriority w:val="0"/>
    <w:pPr>
      <w:widowControl w:val="0"/>
      <w:numPr>
        <w:ilvl w:val="0"/>
        <w:numId w:val="11"/>
      </w:numPr>
      <w:jc w:val="both"/>
    </w:pPr>
    <w:rPr>
      <w:rFonts w:ascii="宋体" w:hAnsi="Times New Roman" w:eastAsia="宋体" w:cs="Times New Roman"/>
      <w:sz w:val="21"/>
      <w:lang w:val="en-US" w:eastAsia="zh-CN" w:bidi="ar-SA"/>
    </w:rPr>
  </w:style>
  <w:style w:type="paragraph" w:customStyle="1" w:styleId="137">
    <w:name w:val="字母编号列项（一级）"/>
    <w:qFormat/>
    <w:uiPriority w:val="0"/>
    <w:pPr>
      <w:numPr>
        <w:ilvl w:val="0"/>
        <w:numId w:val="8"/>
      </w:numPr>
      <w:jc w:val="both"/>
    </w:pPr>
    <w:rPr>
      <w:rFonts w:ascii="宋体" w:hAnsi="Times New Roman" w:eastAsia="宋体" w:cs="Times New Roman"/>
      <w:sz w:val="21"/>
      <w:lang w:val="en-US" w:eastAsia="zh-CN" w:bidi="ar-SA"/>
    </w:rPr>
  </w:style>
  <w:style w:type="paragraph" w:customStyle="1" w:styleId="138">
    <w:name w:val="附录四级无"/>
    <w:basedOn w:val="105"/>
    <w:qFormat/>
    <w:uiPriority w:val="0"/>
    <w:pPr>
      <w:tabs>
        <w:tab w:val="clear" w:pos="360"/>
      </w:tabs>
      <w:spacing w:before="0" w:beforeLines="0" w:after="0" w:afterLines="0"/>
    </w:pPr>
    <w:rPr>
      <w:rFonts w:ascii="宋体" w:eastAsia="宋体"/>
      <w:szCs w:val="21"/>
    </w:rPr>
  </w:style>
  <w:style w:type="paragraph" w:customStyle="1" w:styleId="139">
    <w:name w:val="正文表标题"/>
    <w:next w:val="70"/>
    <w:qFormat/>
    <w:uiPriority w:val="0"/>
    <w:pPr>
      <w:numPr>
        <w:ilvl w:val="0"/>
        <w:numId w:val="12"/>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40">
    <w:name w:val="附录表标号"/>
    <w:basedOn w:val="1"/>
    <w:next w:val="70"/>
    <w:qFormat/>
    <w:uiPriority w:val="0"/>
    <w:pPr>
      <w:numPr>
        <w:ilvl w:val="0"/>
        <w:numId w:val="13"/>
      </w:numPr>
      <w:tabs>
        <w:tab w:val="clear" w:pos="0"/>
      </w:tabs>
      <w:spacing w:line="14" w:lineRule="exact"/>
      <w:ind w:left="811" w:hanging="448"/>
      <w:jc w:val="center"/>
      <w:outlineLvl w:val="0"/>
    </w:pPr>
    <w:rPr>
      <w:rFonts w:ascii="Times New Roman" w:hAnsi="Times New Roman" w:eastAsia="宋体" w:cs="Times New Roman"/>
      <w:color w:val="FFFFFF"/>
      <w:szCs w:val="24"/>
    </w:rPr>
  </w:style>
  <w:style w:type="paragraph" w:customStyle="1" w:styleId="141">
    <w:name w:val="参考文献、索引标题"/>
    <w:basedOn w:val="1"/>
    <w:next w:val="70"/>
    <w:qFormat/>
    <w:uiPriority w:val="0"/>
    <w:pPr>
      <w:keepNext/>
      <w:pageBreakBefore/>
      <w:widowControl/>
      <w:shd w:val="clear" w:color="FFFFFF" w:fill="FFFFFF"/>
      <w:spacing w:before="640" w:after="200"/>
      <w:jc w:val="center"/>
      <w:outlineLvl w:val="0"/>
    </w:pPr>
    <w:rPr>
      <w:rFonts w:ascii="黑体" w:hAnsi="Times New Roman" w:eastAsia="黑体" w:cs="Times New Roman"/>
      <w:kern w:val="0"/>
      <w:szCs w:val="20"/>
    </w:rPr>
  </w:style>
  <w:style w:type="paragraph" w:customStyle="1" w:styleId="142">
    <w:name w:val="附录二级无"/>
    <w:basedOn w:val="107"/>
    <w:qFormat/>
    <w:uiPriority w:val="0"/>
    <w:pPr>
      <w:tabs>
        <w:tab w:val="clear" w:pos="360"/>
      </w:tabs>
      <w:spacing w:before="0" w:beforeLines="0" w:after="0" w:afterLines="0"/>
    </w:pPr>
    <w:rPr>
      <w:rFonts w:ascii="宋体" w:eastAsia="宋体"/>
      <w:szCs w:val="21"/>
    </w:rPr>
  </w:style>
  <w:style w:type="paragraph" w:customStyle="1" w:styleId="143">
    <w:name w:val="图标脚注说明"/>
    <w:basedOn w:val="70"/>
    <w:qFormat/>
    <w:uiPriority w:val="0"/>
    <w:pPr>
      <w:ind w:left="840" w:hanging="420" w:firstLineChars="0"/>
    </w:pPr>
    <w:rPr>
      <w:sz w:val="18"/>
      <w:szCs w:val="18"/>
    </w:rPr>
  </w:style>
  <w:style w:type="paragraph" w:customStyle="1" w:styleId="144">
    <w:name w:val="二级无标题条"/>
    <w:basedOn w:val="1"/>
    <w:qFormat/>
    <w:uiPriority w:val="0"/>
    <w:pPr>
      <w:numPr>
        <w:ilvl w:val="3"/>
        <w:numId w:val="6"/>
      </w:numPr>
    </w:pPr>
    <w:rPr>
      <w:rFonts w:ascii="Times New Roman" w:hAnsi="Times New Roman" w:eastAsia="宋体" w:cs="Times New Roman"/>
      <w:szCs w:val="24"/>
    </w:rPr>
  </w:style>
  <w:style w:type="paragraph" w:customStyle="1" w:styleId="145">
    <w:name w:val="目次、标准名称标题"/>
    <w:basedOn w:val="1"/>
    <w:next w:val="70"/>
    <w:qFormat/>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146">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47">
    <w:name w:val="附录表标题"/>
    <w:basedOn w:val="1"/>
    <w:next w:val="70"/>
    <w:qFormat/>
    <w:uiPriority w:val="0"/>
    <w:pPr>
      <w:numPr>
        <w:ilvl w:val="1"/>
        <w:numId w:val="13"/>
      </w:numPr>
      <w:tabs>
        <w:tab w:val="left" w:pos="180"/>
      </w:tabs>
      <w:spacing w:before="50" w:beforeLines="50" w:after="50" w:afterLines="50"/>
      <w:ind w:left="0" w:firstLine="0"/>
      <w:jc w:val="center"/>
    </w:pPr>
    <w:rPr>
      <w:rFonts w:ascii="黑体" w:hAnsi="Times New Roman" w:eastAsia="黑体" w:cs="Times New Roman"/>
      <w:szCs w:val="21"/>
    </w:rPr>
  </w:style>
  <w:style w:type="paragraph" w:customStyle="1" w:styleId="148">
    <w:name w:val="Char Char Char Char"/>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149">
    <w:name w:val="附录一级条标题"/>
    <w:basedOn w:val="150"/>
    <w:next w:val="70"/>
    <w:qFormat/>
    <w:uiPriority w:val="0"/>
    <w:pPr>
      <w:numPr>
        <w:ilvl w:val="2"/>
      </w:numPr>
      <w:tabs>
        <w:tab w:val="left" w:pos="360"/>
      </w:tabs>
      <w:autoSpaceDN w:val="0"/>
      <w:spacing w:before="50" w:beforeLines="50" w:after="50" w:afterLines="50"/>
      <w:outlineLvl w:val="2"/>
    </w:pPr>
  </w:style>
  <w:style w:type="paragraph" w:customStyle="1" w:styleId="150">
    <w:name w:val="附录章标题"/>
    <w:next w:val="70"/>
    <w:qFormat/>
    <w:uiPriority w:val="0"/>
    <w:pPr>
      <w:numPr>
        <w:ilvl w:val="1"/>
        <w:numId w:val="5"/>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51">
    <w:name w:val="正文公式编号制表符"/>
    <w:basedOn w:val="70"/>
    <w:next w:val="70"/>
    <w:qFormat/>
    <w:uiPriority w:val="0"/>
    <w:pPr>
      <w:ind w:firstLine="0" w:firstLineChars="0"/>
    </w:pPr>
  </w:style>
  <w:style w:type="paragraph" w:customStyle="1" w:styleId="152">
    <w:name w:val="参考文献"/>
    <w:basedOn w:val="1"/>
    <w:next w:val="70"/>
    <w:qFormat/>
    <w:uiPriority w:val="0"/>
    <w:pPr>
      <w:keepNext/>
      <w:pageBreakBefore/>
      <w:widowControl/>
      <w:shd w:val="clear" w:color="FFFFFF" w:fill="FFFFFF"/>
      <w:spacing w:before="640" w:after="200"/>
      <w:jc w:val="center"/>
      <w:outlineLvl w:val="0"/>
    </w:pPr>
    <w:rPr>
      <w:rFonts w:ascii="黑体" w:hAnsi="Times New Roman" w:eastAsia="黑体" w:cs="Times New Roman"/>
      <w:kern w:val="0"/>
      <w:szCs w:val="20"/>
    </w:rPr>
  </w:style>
  <w:style w:type="paragraph" w:customStyle="1" w:styleId="153">
    <w:name w:val="注：（正文）"/>
    <w:basedOn w:val="154"/>
    <w:next w:val="70"/>
    <w:qFormat/>
    <w:uiPriority w:val="0"/>
  </w:style>
  <w:style w:type="paragraph" w:customStyle="1" w:styleId="154">
    <w:name w:val="注："/>
    <w:next w:val="70"/>
    <w:qFormat/>
    <w:uiPriority w:val="0"/>
    <w:pPr>
      <w:widowControl w:val="0"/>
      <w:numPr>
        <w:ilvl w:val="0"/>
        <w:numId w:val="14"/>
      </w:numPr>
      <w:autoSpaceDE w:val="0"/>
      <w:autoSpaceDN w:val="0"/>
      <w:jc w:val="both"/>
    </w:pPr>
    <w:rPr>
      <w:rFonts w:ascii="宋体" w:hAnsi="Times New Roman" w:eastAsia="宋体" w:cs="Times New Roman"/>
      <w:sz w:val="18"/>
      <w:szCs w:val="18"/>
      <w:lang w:val="en-US" w:eastAsia="zh-CN" w:bidi="ar-SA"/>
    </w:rPr>
  </w:style>
  <w:style w:type="paragraph" w:customStyle="1" w:styleId="15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56">
    <w:name w:val="示例×："/>
    <w:basedOn w:val="157"/>
    <w:qFormat/>
    <w:uiPriority w:val="0"/>
    <w:pPr>
      <w:numPr>
        <w:ilvl w:val="0"/>
        <w:numId w:val="15"/>
      </w:numPr>
      <w:spacing w:before="0" w:beforeLines="0" w:after="0" w:afterLines="0"/>
      <w:outlineLvl w:val="9"/>
    </w:pPr>
    <w:rPr>
      <w:rFonts w:ascii="宋体" w:eastAsia="宋体"/>
      <w:sz w:val="18"/>
      <w:szCs w:val="18"/>
    </w:rPr>
  </w:style>
  <w:style w:type="paragraph" w:customStyle="1" w:styleId="157">
    <w:name w:val="章标题"/>
    <w:next w:val="70"/>
    <w:qFormat/>
    <w:uiPriority w:val="0"/>
    <w:pPr>
      <w:numPr>
        <w:ilvl w:val="0"/>
        <w:numId w:val="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58">
    <w:name w:val="其他发布部门"/>
    <w:basedOn w:val="135"/>
    <w:qFormat/>
    <w:uiPriority w:val="0"/>
    <w:pPr>
      <w:framePr w:wrap="around" w:y="15310"/>
      <w:spacing w:line="0" w:lineRule="atLeast"/>
    </w:pPr>
    <w:rPr>
      <w:rFonts w:ascii="黑体" w:eastAsia="黑体"/>
      <w:b w:val="0"/>
    </w:rPr>
  </w:style>
  <w:style w:type="paragraph" w:customStyle="1" w:styleId="15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6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61">
    <w:name w:val="图表脚注说明"/>
    <w:basedOn w:val="1"/>
    <w:qFormat/>
    <w:uiPriority w:val="0"/>
    <w:pPr>
      <w:numPr>
        <w:ilvl w:val="0"/>
        <w:numId w:val="16"/>
      </w:numPr>
    </w:pPr>
    <w:rPr>
      <w:rFonts w:ascii="宋体" w:hAnsi="Times New Roman" w:eastAsia="宋体" w:cs="Times New Roman"/>
      <w:sz w:val="18"/>
      <w:szCs w:val="18"/>
    </w:rPr>
  </w:style>
  <w:style w:type="paragraph" w:customStyle="1" w:styleId="162">
    <w:name w:val="Char Char Char Char1"/>
    <w:basedOn w:val="1"/>
    <w:qFormat/>
    <w:uiPriority w:val="0"/>
    <w:rPr>
      <w:rFonts w:ascii="Times New Roman" w:hAnsi="Times New Roman" w:eastAsia="宋体" w:cs="Times New Roman"/>
      <w:szCs w:val="24"/>
    </w:rPr>
  </w:style>
  <w:style w:type="paragraph" w:customStyle="1" w:styleId="163">
    <w:name w:val="三级无"/>
    <w:basedOn w:val="93"/>
    <w:qFormat/>
    <w:uiPriority w:val="0"/>
    <w:pPr>
      <w:spacing w:before="0" w:beforeLines="0" w:after="0" w:afterLines="0"/>
    </w:pPr>
    <w:rPr>
      <w:rFonts w:ascii="宋体" w:eastAsia="宋体"/>
    </w:rPr>
  </w:style>
  <w:style w:type="paragraph" w:customStyle="1" w:styleId="164">
    <w:name w:val="四级无"/>
    <w:basedOn w:val="103"/>
    <w:qFormat/>
    <w:uiPriority w:val="0"/>
    <w:pPr>
      <w:spacing w:before="0" w:beforeLines="0" w:after="0" w:afterLines="0"/>
    </w:pPr>
    <w:rPr>
      <w:rFonts w:ascii="宋体" w:eastAsia="宋体"/>
    </w:rPr>
  </w:style>
  <w:style w:type="paragraph" w:customStyle="1" w:styleId="165">
    <w:name w:val="封面标准文稿编辑信息2"/>
    <w:basedOn w:val="127"/>
    <w:qFormat/>
    <w:uiPriority w:val="0"/>
    <w:pPr>
      <w:framePr w:wrap="around" w:y="4469"/>
    </w:pPr>
  </w:style>
  <w:style w:type="paragraph" w:customStyle="1" w:styleId="166">
    <w:name w:val="Char1"/>
    <w:basedOn w:val="1"/>
    <w:qFormat/>
    <w:uiPriority w:val="0"/>
    <w:rPr>
      <w:rFonts w:ascii="Times New Roman" w:hAnsi="Times New Roman" w:eastAsia="宋体" w:cs="Times New Roman"/>
      <w:szCs w:val="20"/>
    </w:rPr>
  </w:style>
  <w:style w:type="paragraph" w:customStyle="1" w:styleId="167">
    <w:name w:val="四级无标题条"/>
    <w:basedOn w:val="1"/>
    <w:qFormat/>
    <w:uiPriority w:val="0"/>
    <w:pPr>
      <w:numPr>
        <w:ilvl w:val="5"/>
        <w:numId w:val="6"/>
      </w:numPr>
    </w:pPr>
    <w:rPr>
      <w:rFonts w:ascii="Times New Roman" w:hAnsi="Times New Roman" w:eastAsia="宋体" w:cs="Times New Roman"/>
      <w:szCs w:val="24"/>
    </w:rPr>
  </w:style>
  <w:style w:type="paragraph" w:customStyle="1" w:styleId="168">
    <w:name w:val="示例"/>
    <w:next w:val="159"/>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16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70">
    <w:name w:val="其他发布日期"/>
    <w:basedOn w:val="121"/>
    <w:qFormat/>
    <w:uiPriority w:val="0"/>
    <w:pPr>
      <w:framePr w:wrap="around" w:vAnchor="page" w:hAnchor="text" w:x="1419"/>
    </w:pPr>
  </w:style>
  <w:style w:type="paragraph" w:customStyle="1" w:styleId="171">
    <w:name w:val="附录三级无"/>
    <w:basedOn w:val="106"/>
    <w:qFormat/>
    <w:uiPriority w:val="0"/>
    <w:pPr>
      <w:tabs>
        <w:tab w:val="clear" w:pos="360"/>
      </w:tabs>
      <w:spacing w:before="0" w:beforeLines="0" w:after="0" w:afterLines="0"/>
    </w:pPr>
    <w:rPr>
      <w:rFonts w:ascii="宋体" w:eastAsia="宋体"/>
      <w:szCs w:val="21"/>
    </w:rPr>
  </w:style>
  <w:style w:type="paragraph" w:customStyle="1" w:styleId="172">
    <w:name w:val="图表脚注"/>
    <w:next w:val="1"/>
    <w:qFormat/>
    <w:uiPriority w:val="0"/>
    <w:pPr>
      <w:ind w:left="200" w:leftChars="200" w:hanging="100" w:hangingChars="100"/>
      <w:jc w:val="both"/>
    </w:pPr>
    <w:rPr>
      <w:rFonts w:ascii="宋体" w:hAnsi="Times New Roman" w:eastAsia="宋体" w:cs="Times New Roman"/>
      <w:sz w:val="18"/>
      <w:lang w:val="en-US" w:eastAsia="zh-CN" w:bidi="ar-SA"/>
    </w:rPr>
  </w:style>
  <w:style w:type="paragraph" w:customStyle="1" w:styleId="173">
    <w:name w:val="Zchn Zchn"/>
    <w:basedOn w:val="1"/>
    <w:qFormat/>
    <w:uiPriority w:val="0"/>
    <w:rPr>
      <w:rFonts w:ascii="Times New Roman" w:hAnsi="Times New Roman" w:eastAsia="宋体" w:cs="Times New Roman"/>
      <w:szCs w:val="20"/>
    </w:rPr>
  </w:style>
  <w:style w:type="paragraph" w:customStyle="1" w:styleId="174">
    <w:name w:val="列项◆（三级）"/>
    <w:basedOn w:val="1"/>
    <w:qFormat/>
    <w:uiPriority w:val="0"/>
    <w:pPr>
      <w:numPr>
        <w:ilvl w:val="2"/>
        <w:numId w:val="11"/>
      </w:numPr>
    </w:pPr>
    <w:rPr>
      <w:rFonts w:ascii="宋体" w:hAnsi="Times New Roman" w:eastAsia="宋体" w:cs="Times New Roman"/>
      <w:szCs w:val="21"/>
    </w:rPr>
  </w:style>
  <w:style w:type="paragraph" w:customStyle="1" w:styleId="175">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76">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77">
    <w:name w:val="封面标准英文名称2"/>
    <w:basedOn w:val="99"/>
    <w:qFormat/>
    <w:uiPriority w:val="0"/>
    <w:pPr>
      <w:framePr w:wrap="around" w:y="4469"/>
    </w:pPr>
  </w:style>
  <w:style w:type="paragraph" w:customStyle="1" w:styleId="178">
    <w:name w:val="附录公式编号制表符"/>
    <w:basedOn w:val="1"/>
    <w:next w:val="70"/>
    <w:qFormat/>
    <w:uiPriority w:val="0"/>
    <w:pPr>
      <w:widowControl/>
      <w:tabs>
        <w:tab w:val="center" w:pos="4201"/>
        <w:tab w:val="right" w:leader="dot" w:pos="9298"/>
      </w:tabs>
      <w:autoSpaceDE w:val="0"/>
      <w:autoSpaceDN w:val="0"/>
    </w:pPr>
    <w:rPr>
      <w:rFonts w:ascii="宋体" w:hAnsi="Times New Roman" w:eastAsia="宋体" w:cs="Times New Roman"/>
      <w:kern w:val="0"/>
      <w:szCs w:val="20"/>
    </w:rPr>
  </w:style>
  <w:style w:type="paragraph" w:customStyle="1" w:styleId="17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80">
    <w:name w:val="附录图标号"/>
    <w:basedOn w:val="1"/>
    <w:qFormat/>
    <w:uiPriority w:val="0"/>
    <w:pPr>
      <w:keepNext/>
      <w:pageBreakBefore/>
      <w:widowControl/>
      <w:numPr>
        <w:ilvl w:val="0"/>
        <w:numId w:val="10"/>
      </w:numPr>
      <w:spacing w:line="14" w:lineRule="exact"/>
      <w:ind w:left="0" w:firstLine="363"/>
      <w:jc w:val="center"/>
      <w:outlineLvl w:val="0"/>
    </w:pPr>
    <w:rPr>
      <w:rFonts w:ascii="Times New Roman" w:hAnsi="Times New Roman" w:eastAsia="宋体" w:cs="Times New Roman"/>
      <w:color w:val="FFFFFF"/>
      <w:szCs w:val="24"/>
    </w:rPr>
  </w:style>
  <w:style w:type="paragraph" w:customStyle="1" w:styleId="181">
    <w:name w:val="列项●（二级）"/>
    <w:qFormat/>
    <w:uiPriority w:val="0"/>
    <w:pPr>
      <w:numPr>
        <w:ilvl w:val="1"/>
        <w:numId w:val="11"/>
      </w:numPr>
      <w:tabs>
        <w:tab w:val="left" w:pos="840"/>
      </w:tabs>
      <w:jc w:val="both"/>
    </w:pPr>
    <w:rPr>
      <w:rFonts w:ascii="宋体" w:hAnsi="Times New Roman" w:eastAsia="宋体" w:cs="Times New Roman"/>
      <w:sz w:val="21"/>
      <w:lang w:val="en-US" w:eastAsia="zh-CN" w:bidi="ar-SA"/>
    </w:rPr>
  </w:style>
  <w:style w:type="paragraph" w:customStyle="1" w:styleId="182">
    <w:name w:val="实施日期"/>
    <w:basedOn w:val="121"/>
    <w:qFormat/>
    <w:uiPriority w:val="0"/>
    <w:pPr>
      <w:framePr w:wrap="around" w:vAnchor="page" w:hAnchor="text"/>
      <w:jc w:val="right"/>
    </w:pPr>
  </w:style>
  <w:style w:type="paragraph" w:customStyle="1" w:styleId="183">
    <w:name w:val="封面标准名称2"/>
    <w:basedOn w:val="100"/>
    <w:qFormat/>
    <w:uiPriority w:val="0"/>
    <w:pPr>
      <w:framePr w:wrap="around" w:y="4469"/>
      <w:spacing w:before="630" w:beforeLines="630"/>
    </w:pPr>
  </w:style>
  <w:style w:type="paragraph" w:customStyle="1" w:styleId="184">
    <w:name w:val="封面正文"/>
    <w:qFormat/>
    <w:uiPriority w:val="0"/>
    <w:pPr>
      <w:jc w:val="both"/>
    </w:pPr>
    <w:rPr>
      <w:rFonts w:ascii="Times New Roman" w:hAnsi="Times New Roman" w:eastAsia="宋体" w:cs="Times New Roman"/>
      <w:lang w:val="en-US" w:eastAsia="zh-CN" w:bidi="ar-SA"/>
    </w:rPr>
  </w:style>
  <w:style w:type="paragraph" w:customStyle="1" w:styleId="185">
    <w:name w:val="封面一致性程度标识2"/>
    <w:basedOn w:val="98"/>
    <w:qFormat/>
    <w:uiPriority w:val="0"/>
    <w:pPr>
      <w:framePr w:wrap="around" w:y="4469"/>
    </w:pPr>
  </w:style>
  <w:style w:type="paragraph" w:customStyle="1" w:styleId="186">
    <w:name w:val="附录一级无"/>
    <w:basedOn w:val="149"/>
    <w:qFormat/>
    <w:uiPriority w:val="0"/>
    <w:pPr>
      <w:tabs>
        <w:tab w:val="clear" w:pos="360"/>
      </w:tabs>
      <w:spacing w:before="0" w:beforeLines="0" w:after="0" w:afterLines="0"/>
    </w:pPr>
    <w:rPr>
      <w:rFonts w:ascii="宋体" w:eastAsia="宋体"/>
      <w:szCs w:val="21"/>
    </w:rPr>
  </w:style>
  <w:style w:type="paragraph" w:customStyle="1" w:styleId="187">
    <w:name w:val="条文脚注"/>
    <w:basedOn w:val="33"/>
    <w:qFormat/>
    <w:uiPriority w:val="0"/>
    <w:pPr>
      <w:numPr>
        <w:numId w:val="0"/>
      </w:numPr>
      <w:jc w:val="both"/>
    </w:pPr>
  </w:style>
  <w:style w:type="paragraph" w:customStyle="1" w:styleId="188">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189">
    <w:name w:val="其他实施日期"/>
    <w:basedOn w:val="182"/>
    <w:qFormat/>
    <w:uiPriority w:val="0"/>
    <w:pPr>
      <w:framePr w:wrap="around"/>
    </w:pPr>
  </w:style>
  <w:style w:type="paragraph" w:customStyle="1" w:styleId="190">
    <w:name w:val="编号列项（三级）"/>
    <w:qFormat/>
    <w:uiPriority w:val="0"/>
    <w:pPr>
      <w:numPr>
        <w:ilvl w:val="2"/>
        <w:numId w:val="8"/>
      </w:numPr>
    </w:pPr>
    <w:rPr>
      <w:rFonts w:ascii="宋体" w:hAnsi="Times New Roman" w:eastAsia="宋体" w:cs="Times New Roman"/>
      <w:sz w:val="21"/>
      <w:lang w:val="en-US" w:eastAsia="zh-CN" w:bidi="ar-SA"/>
    </w:rPr>
  </w:style>
  <w:style w:type="paragraph" w:customStyle="1" w:styleId="191">
    <w:name w:val="示例后文字"/>
    <w:basedOn w:val="70"/>
    <w:next w:val="70"/>
    <w:qFormat/>
    <w:uiPriority w:val="0"/>
    <w:pPr>
      <w:ind w:firstLine="360"/>
    </w:pPr>
    <w:rPr>
      <w:sz w:val="18"/>
    </w:rPr>
  </w:style>
  <w:style w:type="paragraph" w:customStyle="1" w:styleId="192">
    <w:name w:val="附录五级无"/>
    <w:basedOn w:val="104"/>
    <w:qFormat/>
    <w:uiPriority w:val="0"/>
    <w:pPr>
      <w:tabs>
        <w:tab w:val="clear" w:pos="360"/>
      </w:tabs>
      <w:spacing w:before="0" w:beforeLines="0" w:after="0" w:afterLines="0"/>
    </w:pPr>
    <w:rPr>
      <w:rFonts w:ascii="宋体" w:eastAsia="宋体"/>
      <w:szCs w:val="21"/>
    </w:rPr>
  </w:style>
  <w:style w:type="paragraph" w:customStyle="1" w:styleId="193">
    <w:name w:val="图的脚注"/>
    <w:next w:val="70"/>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94">
    <w:name w:val="注×：（正文）"/>
    <w:qFormat/>
    <w:uiPriority w:val="0"/>
    <w:pPr>
      <w:numPr>
        <w:ilvl w:val="0"/>
        <w:numId w:val="17"/>
      </w:numPr>
      <w:jc w:val="both"/>
    </w:pPr>
    <w:rPr>
      <w:rFonts w:ascii="宋体" w:hAnsi="Times New Roman" w:eastAsia="宋体" w:cs="Times New Roman"/>
      <w:sz w:val="18"/>
      <w:szCs w:val="18"/>
      <w:lang w:val="en-US" w:eastAsia="zh-CN" w:bidi="ar-SA"/>
    </w:rPr>
  </w:style>
  <w:style w:type="paragraph" w:customStyle="1" w:styleId="195">
    <w:name w:val="Char Char Char Char Char"/>
    <w:basedOn w:val="1"/>
    <w:qFormat/>
    <w:uiPriority w:val="0"/>
    <w:rPr>
      <w:rFonts w:ascii="Tahoma" w:hAnsi="Tahoma" w:eastAsia="宋体" w:cs="Tahoma"/>
      <w:sz w:val="24"/>
      <w:szCs w:val="24"/>
    </w:rPr>
  </w:style>
  <w:style w:type="paragraph" w:customStyle="1" w:styleId="196">
    <w:name w:val="附录标识"/>
    <w:basedOn w:val="1"/>
    <w:next w:val="70"/>
    <w:qFormat/>
    <w:uiPriority w:val="0"/>
    <w:pPr>
      <w:keepNext/>
      <w:widowControl/>
      <w:numPr>
        <w:ilvl w:val="0"/>
        <w:numId w:val="5"/>
      </w:numPr>
      <w:shd w:val="clear" w:color="FFFFFF" w:fill="FFFFFF"/>
      <w:tabs>
        <w:tab w:val="left" w:pos="360"/>
        <w:tab w:val="left" w:pos="6405"/>
      </w:tabs>
      <w:spacing w:before="640" w:after="280"/>
      <w:jc w:val="center"/>
      <w:outlineLvl w:val="0"/>
    </w:pPr>
    <w:rPr>
      <w:rFonts w:ascii="黑体" w:hAnsi="Times New Roman" w:eastAsia="黑体" w:cs="Times New Roman"/>
      <w:kern w:val="0"/>
      <w:szCs w:val="20"/>
    </w:rPr>
  </w:style>
  <w:style w:type="paragraph" w:customStyle="1" w:styleId="197">
    <w:name w:val="首示例"/>
    <w:next w:val="70"/>
    <w:qFormat/>
    <w:uiPriority w:val="0"/>
    <w:pPr>
      <w:numPr>
        <w:ilvl w:val="0"/>
        <w:numId w:val="18"/>
      </w:numPr>
      <w:tabs>
        <w:tab w:val="left" w:pos="360"/>
      </w:tabs>
      <w:ind w:firstLine="0"/>
    </w:pPr>
    <w:rPr>
      <w:rFonts w:ascii="宋体" w:hAnsi="宋体" w:eastAsia="宋体" w:cs="Times New Roman"/>
      <w:kern w:val="2"/>
      <w:sz w:val="18"/>
      <w:szCs w:val="18"/>
      <w:lang w:val="en-US" w:eastAsia="zh-CN" w:bidi="ar-SA"/>
    </w:rPr>
  </w:style>
  <w:style w:type="paragraph" w:customStyle="1" w:styleId="198">
    <w:name w:val="终结线"/>
    <w:basedOn w:val="1"/>
    <w:qFormat/>
    <w:uiPriority w:val="0"/>
    <w:pPr>
      <w:framePr w:hSpace="181" w:vSpace="181" w:wrap="around" w:vAnchor="text" w:hAnchor="margin" w:xAlign="center" w:y="285"/>
    </w:pPr>
    <w:rPr>
      <w:rFonts w:ascii="Times New Roman" w:hAnsi="Times New Roman" w:eastAsia="宋体" w:cs="Times New Roman"/>
      <w:szCs w:val="24"/>
    </w:rPr>
  </w:style>
  <w:style w:type="paragraph" w:customStyle="1" w:styleId="199">
    <w:name w:val="WPSOffice手动目录 1"/>
    <w:qFormat/>
    <w:uiPriority w:val="0"/>
    <w:rPr>
      <w:rFonts w:asciiTheme="minorHAnsi" w:hAnsiTheme="minorHAnsi" w:eastAsiaTheme="minorEastAsia" w:cstheme="minorBidi"/>
      <w:lang w:val="en-US" w:eastAsia="zh-CN" w:bidi="ar-SA"/>
    </w:rPr>
  </w:style>
  <w:style w:type="paragraph" w:customStyle="1" w:styleId="200">
    <w:name w:val="WPSOffice手动目录 2"/>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emf"/><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1078</Words>
  <Characters>6146</Characters>
  <Lines>51</Lines>
  <Paragraphs>14</Paragraphs>
  <TotalTime>10</TotalTime>
  <ScaleCrop>false</ScaleCrop>
  <LinksUpToDate>false</LinksUpToDate>
  <CharactersWithSpaces>7210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2023-08-10T11:59:00Z</dcterms:created>
  <dc:creator>Dellb-017</dc:creator>
  <cp:lastModifiedBy>13309022508</cp:lastModifiedBy>
  <dcterms:modified xsi:type="dcterms:W3CDTF">2023-09-04T03:12:51Z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5E9A40429E264F54A0FAA76F4CC20084_13</vt:lpwstr>
  </property>
</Properties>
</file>